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6E6A"/>
          <w:sz w:val="24"/>
        </w:rPr>
        <w:t>EVIDENCE ROOM</w:t>
      </w:r>
    </w:p>
    <w:p>
      <w:pPr>
        <w:pStyle w:val="Heading1"/>
      </w:pPr>
      <w:r>
        <w:t>Process Discovery Meeting Guide</w:t>
      </w:r>
    </w:p>
    <w:p>
      <w:r>
        <w:rPr>
          <w:color w:val="3D4754"/>
        </w:rPr>
        <w:t>Step 1–3 of Evidence Room methodology</w:t>
      </w:r>
    </w:p>
    <w:p>
      <w:pPr>
        <w:pStyle w:val="Heading2"/>
      </w:pPr>
      <w:r>
        <w:t>Interview prompts</w:t>
      </w:r>
    </w:p>
    <w:p>
      <w:pPr>
        <w:pStyle w:val="ListBullet"/>
      </w:pPr>
      <w:r>
        <w:t>Walk me through the last invoice that got stuck. Minute by minute.</w:t>
      </w:r>
    </w:p>
    <w:p>
      <w:pPr>
        <w:pStyle w:val="ListBullet"/>
      </w:pPr>
      <w:r>
        <w:t>Which systems did you touch? What did you copy-paste?</w:t>
      </w:r>
    </w:p>
    <w:p>
      <w:pPr>
        <w:pStyle w:val="ListBullet"/>
      </w:pPr>
      <w:r>
        <w:t>What does “good enough to post” mean in practice?</w:t>
      </w:r>
    </w:p>
    <w:p>
      <w:pPr>
        <w:pStyle w:val="ListBullet"/>
      </w:pPr>
      <w:r>
        <w:t>Which exceptions are noise vs genuine risk?</w:t>
      </w:r>
    </w:p>
    <w:p>
      <w:pPr>
        <w:pStyle w:val="ListBullet"/>
      </w:pPr>
      <w:r>
        <w:t>Where do approvals die?</w:t>
      </w:r>
    </w:p>
    <w:p>
      <w:pPr>
        <w:pStyle w:val="ListBullet"/>
      </w:pPr>
      <w:r>
        <w:t>What would break if an agent drafted the supplier email?</w:t>
      </w:r>
    </w:p>
    <w:p>
      <w:pPr>
        <w:pStyle w:val="ListBullet"/>
      </w:pPr>
      <w:r>
        <w:t>What must never be automated without you?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