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Risk Assessment — AP Agent Deployment</w:t>
      </w:r>
    </w:p>
    <w:p>
      <w:r>
        <w:rPr>
          <w:color w:val="3D4754"/>
        </w:rPr>
        <w:t>Complete before shadow and before any level increase</w:t>
      </w:r>
    </w:p>
    <w:p>
      <w:r>
        <w:t>Risk ID: ________________________________</w:t>
      </w:r>
    </w:p>
    <w:p>
      <w:r>
        <w:t>Description: ________________________________</w:t>
      </w:r>
    </w:p>
    <w:p>
      <w:r>
        <w:t>Likelihood: ________________________________</w:t>
      </w:r>
    </w:p>
    <w:p>
      <w:r>
        <w:t>Impact: ________________________________</w:t>
      </w:r>
    </w:p>
    <w:p>
      <w:r>
        <w:t>Existing controls: ________________________________</w:t>
      </w:r>
    </w:p>
    <w:p>
      <w:r>
        <w:t>Residual risk: ________________________________</w:t>
      </w:r>
    </w:p>
    <w:p>
      <w:r>
        <w:t>Owner: ________________________________</w:t>
      </w:r>
    </w:p>
    <w:p>
      <w:r>
        <w:t>Actions: ________________________________</w:t>
      </w:r>
    </w:p>
    <w:p>
      <w:r>
        <w:t>Review date: ________________________________</w:t>
      </w:r>
    </w:p>
    <w:p>
      <w:r>
        <w:t>Minimum risks to evaluate: hallucinated fields, incorrect match, SoD breach, prompt injection, privacy leakage, unauthorised communication, payment-path interference, model drift, outage/fallback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