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Calibri"/>
          <w:b/>
          <w:i w:val="0"/>
          <w:color w:val="1E5C45"/>
          <w:sz w:val="20"/>
        </w:rPr>
        <w:t>EVIDENCE ROOM</w:t>
      </w:r>
    </w:p>
    <w:p>
      <w:r>
        <w:rPr>
          <w:rFonts w:ascii="Calibri" w:hAnsi="Calibri" w:eastAsia="Calibri"/>
          <w:b/>
          <w:i w:val="0"/>
          <w:color w:val="14171C"/>
          <w:sz w:val="44"/>
        </w:rPr>
        <w:t>Agent charter</w:t>
      </w:r>
    </w:p>
    <w:p>
      <w:pPr>
        <w:spacing w:after="120"/>
      </w:pPr>
      <w:r>
        <w:rPr>
          <w:rFonts w:ascii="Calibri" w:hAnsi="Calibri" w:eastAsia="Calibri"/>
          <w:b w:val="0"/>
          <w:i/>
          <w:color w:val="5C6370"/>
          <w:sz w:val="20"/>
        </w:rPr>
        <w:t>Required fields per AGENT_CHARTER_STANDARD.md. Example: A12 Payment Proposal Review.</w:t>
      </w:r>
    </w:p>
    <w:p>
      <w:pPr>
        <w:spacing w:after="120"/>
      </w:pPr>
      <w:r>
        <w:rPr>
          <w:rFonts w:ascii="Calibri" w:hAnsi="Calibri" w:eastAsia="Calibri"/>
          <w:b w:val="0"/>
          <w:i/>
          <w:color w:val="5C6370"/>
          <w:sz w:val="18"/>
        </w:rPr>
        <w:t>Version 1.0 · September 2026 · Licensed material · Flag legal review before customer-facing use as a contract.</w:t>
      </w:r>
    </w:p>
    <w:p>
      <w:pPr>
        <w:spacing w:before="320" w:after="120"/>
      </w:pPr>
      <w:r>
        <w:rPr>
          <w:rFonts w:ascii="Calibri" w:hAnsi="Calibri" w:eastAsia="Calibri"/>
          <w:b/>
          <w:i w:val="0"/>
          <w:color w:val="14171C"/>
          <w:sz w:val="32"/>
        </w:rPr>
        <w:t>Worked example — A12 (Northline, fictional)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i w:val="0"/>
                <w:color w:val="14171C"/>
                <w:sz w:val="20"/>
              </w:rPr>
              <w:t>Field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i w:val="0"/>
                <w:color w:val="14171C"/>
                <w:sz w:val="20"/>
              </w:rPr>
              <w:t>Content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Agent ID / name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A12 Payment Proposal Review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Purpose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Challenge the payment proposal; never release the file.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Human owner / backup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Payments Lead / Assistant Controller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Starting autonomy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Level 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Inputs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Proposal snapshot, open items, A10 screen, vendor bank vs last paid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Responsibilities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Hash the proposal; classify lines; produce challenge pack before the release window.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Exclusions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No payment release, bank file, positive-pay, vendor bank write, 'pay immediately'.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Approval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Human release is the only approval that moves money.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Escalation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Bank change, duplicate, block ignored, hash mismatch — stop the run.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Output standard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A12_challenge_pack with line classifications and $ hash.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Controls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C-A12-01 can_release_payment=FALSE; C-A12-02 stale pack invalid.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KPIs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Pack completeness before window; holds honoured; R1 breaches = 0.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Failure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Silent pack ≠ approval. Incomplete pack stops the run.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Cost monitoring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Inference $ per run recorded; not a success metric.</w:t>
            </w:r>
          </w:p>
        </w:tc>
      </w:tr>
    </w:tbl>
    <w:p/>
    <w:p>
      <w:pPr>
        <w:spacing w:before="320" w:after="120"/>
      </w:pPr>
      <w:r>
        <w:rPr>
          <w:rFonts w:ascii="Calibri" w:hAnsi="Calibri" w:eastAsia="Calibri"/>
          <w:b/>
          <w:i w:val="0"/>
          <w:color w:val="14171C"/>
          <w:sz w:val="32"/>
        </w:rPr>
        <w:t>Blank version — complete for your entity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i w:val="0"/>
                <w:color w:val="14171C"/>
                <w:sz w:val="20"/>
              </w:rPr>
              <w:t>Field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i w:val="0"/>
                <w:color w:val="14171C"/>
                <w:sz w:val="20"/>
              </w:rPr>
              <w:t>Your content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Agent ID / name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Purpose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Human owner / backup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Starting autonomy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Inputs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Tools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Responsibilities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Exclusions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Approval by level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Escalation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Output standard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Controls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Audit evidence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KPIs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Performance history location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Failure handling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  <w:t>Cost monitoring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4171C"/>
                <w:sz w:val="20"/>
              </w:rPr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