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E5C45"/>
          <w:sz w:val="20"/>
        </w:rPr>
        <w:t>EVIDENCE ROOM</w:t>
      </w:r>
    </w:p>
    <w:p>
      <w:r>
        <w:rPr>
          <w:rFonts w:ascii="Calibri" w:hAnsi="Calibri" w:eastAsia="Calibri"/>
          <w:b/>
          <w:i w:val="0"/>
          <w:color w:val="14171C"/>
          <w:sz w:val="44"/>
        </w:rPr>
        <w:t>Governance standard — extract</w:t>
      </w:r>
    </w:p>
    <w:p>
      <w:pPr>
        <w:spacing w:after="120"/>
      </w:pPr>
      <w:r>
        <w:rPr>
          <w:rFonts w:ascii="Calibri" w:hAnsi="Calibri" w:eastAsia="Calibri"/>
          <w:b w:val="0"/>
          <w:i/>
          <w:color w:val="5C6370"/>
          <w:sz w:val="20"/>
        </w:rPr>
        <w:t>Plain-language standard. Full framework is the Pro markdown.</w:t>
      </w:r>
    </w:p>
    <w:p>
      <w:pPr>
        <w:spacing w:after="120"/>
      </w:pPr>
      <w:r>
        <w:rPr>
          <w:rFonts w:ascii="Calibri" w:hAnsi="Calibri" w:eastAsia="Calibri"/>
          <w:b w:val="0"/>
          <w:i/>
          <w:color w:val="5C6370"/>
          <w:sz w:val="18"/>
        </w:rPr>
        <w:t>Version 1.0 · September 2026 · Licensed material · Flag legal review before customer-facing use as a contract.</w:t>
      </w:r>
    </w:p>
    <w:p>
      <w:pPr>
        <w:spacing w:before="320" w:after="120"/>
      </w:pPr>
      <w:r>
        <w:rPr>
          <w:rFonts w:ascii="Calibri" w:hAnsi="Calibri" w:eastAsia="Calibri"/>
          <w:b/>
          <w:i w:val="0"/>
          <w:color w:val="14171C"/>
          <w:sz w:val="32"/>
        </w:rPr>
        <w:t>Non-negotiables</w:t>
      </w:r>
    </w:p>
    <w:p>
      <w:pPr>
        <w:spacing w:after="120"/>
      </w:pPr>
      <w:r>
        <w:rPr>
          <w:rFonts w:ascii="Calibri" w:hAnsi="Calibri" w:eastAsia="Calibri"/>
          <w:b w:val="0"/>
          <w:i w:val="0"/>
          <w:color w:val="14171C"/>
          <w:sz w:val="22"/>
        </w:rPr>
        <w:t>1. A named human is accountable for every agent. 2. Payment authorisation is human. 3. Agents are not controls. 4. Invoice text is untrusted data. 5. Model and prompt changes are releases. 6. Overrides are logged. 7. Access ends when the person or vendor ends. 8. Internal Audit can reconstruct who did what.</w:t>
      </w:r>
    </w:p>
    <w:p>
      <w:pPr>
        <w:spacing w:before="320" w:after="120"/>
      </w:pPr>
      <w:r>
        <w:rPr>
          <w:rFonts w:ascii="Calibri" w:hAnsi="Calibri" w:eastAsia="Calibri"/>
          <w:b/>
          <w:i w:val="0"/>
          <w:color w:val="14171C"/>
          <w:sz w:val="32"/>
        </w:rPr>
        <w:t>Periodic certification (example cadence)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Calibri"/>
                <w:b/>
                <w:i w:val="0"/>
                <w:color w:val="14171C"/>
                <w:sz w:val="20"/>
              </w:rPr>
              <w:t>Item</w:t>
            </w:r>
          </w:p>
        </w:tc>
        <w:tc>
          <w:tcPr>
            <w:tcW w:type="dxa" w:w="2880"/>
          </w:tcPr>
          <w:p>
            <w:r/>
            <w:r>
              <w:rPr>
                <w:rFonts w:ascii="Calibri" w:hAnsi="Calibri" w:eastAsia="Calibri"/>
                <w:b/>
                <w:i w:val="0"/>
                <w:color w:val="14171C"/>
                <w:sz w:val="20"/>
              </w:rPr>
              <w:t>Frequency</w:t>
            </w:r>
          </w:p>
        </w:tc>
        <w:tc>
          <w:tcPr>
            <w:tcW w:type="dxa" w:w="2880"/>
          </w:tcPr>
          <w:p>
            <w:r/>
            <w:r>
              <w:rPr>
                <w:rFonts w:ascii="Calibri" w:hAnsi="Calibri" w:eastAsia="Calibri"/>
                <w:b/>
                <w:i w:val="0"/>
                <w:color w:val="14171C"/>
                <w:sz w:val="20"/>
              </w:rPr>
              <w:t>Owner</w:t>
            </w:r>
          </w:p>
        </w:tc>
      </w:tr>
      <w:tr>
        <w:tc>
          <w:tcPr>
            <w:tcW w:type="dxa" w:w="2880"/>
          </w:tcPr>
          <w:p>
            <w:r/>
            <w:r>
              <w:rPr>
                <w:rFonts w:ascii="Calibri" w:hAnsi="Calibri" w:eastAsia="Calibri"/>
                <w:b w:val="0"/>
                <w:i w:val="0"/>
                <w:color w:val="14171C"/>
                <w:sz w:val="20"/>
              </w:rPr>
              <w:t>Autonomy level still earned</w:t>
            </w:r>
          </w:p>
        </w:tc>
        <w:tc>
          <w:tcPr>
            <w:tcW w:type="dxa" w:w="2880"/>
          </w:tcPr>
          <w:p>
            <w:r/>
            <w:r>
              <w:rPr>
                <w:rFonts w:ascii="Calibri" w:hAnsi="Calibri" w:eastAsia="Calibri"/>
                <w:b w:val="0"/>
                <w:i w:val="0"/>
                <w:color w:val="14171C"/>
                <w:sz w:val="20"/>
              </w:rPr>
              <w:t>Quarterly</w:t>
            </w:r>
          </w:p>
        </w:tc>
        <w:tc>
          <w:tcPr>
            <w:tcW w:type="dxa" w:w="2880"/>
          </w:tcPr>
          <w:p>
            <w:r/>
            <w:r>
              <w:rPr>
                <w:rFonts w:ascii="Calibri" w:hAnsi="Calibri" w:eastAsia="Calibri"/>
                <w:b w:val="0"/>
                <w:i w:val="0"/>
                <w:color w:val="14171C"/>
                <w:sz w:val="20"/>
              </w:rPr>
              <w:t>Human owner + Head of SSC</w:t>
            </w:r>
          </w:p>
        </w:tc>
      </w:tr>
      <w:tr>
        <w:tc>
          <w:tcPr>
            <w:tcW w:type="dxa" w:w="2880"/>
          </w:tcPr>
          <w:p>
            <w:r/>
            <w:r>
              <w:rPr>
                <w:rFonts w:ascii="Calibri" w:hAnsi="Calibri" w:eastAsia="Calibri"/>
                <w:b w:val="0"/>
                <w:i w:val="0"/>
                <w:color w:val="14171C"/>
                <w:sz w:val="20"/>
              </w:rPr>
              <w:t>Role / entitlement review</w:t>
            </w:r>
          </w:p>
        </w:tc>
        <w:tc>
          <w:tcPr>
            <w:tcW w:type="dxa" w:w="2880"/>
          </w:tcPr>
          <w:p>
            <w:r/>
            <w:r>
              <w:rPr>
                <w:rFonts w:ascii="Calibri" w:hAnsi="Calibri" w:eastAsia="Calibri"/>
                <w:b w:val="0"/>
                <w:i w:val="0"/>
                <w:color w:val="14171C"/>
                <w:sz w:val="20"/>
              </w:rPr>
              <w:t>Quarterly</w:t>
            </w:r>
          </w:p>
        </w:tc>
        <w:tc>
          <w:tcPr>
            <w:tcW w:type="dxa" w:w="2880"/>
          </w:tcPr>
          <w:p>
            <w:r/>
            <w:r>
              <w:rPr>
                <w:rFonts w:ascii="Calibri" w:hAnsi="Calibri" w:eastAsia="Calibri"/>
                <w:b w:val="0"/>
                <w:i w:val="0"/>
                <w:color w:val="14171C"/>
                <w:sz w:val="20"/>
              </w:rPr>
              <w:t>Systems Owner</w:t>
            </w:r>
          </w:p>
        </w:tc>
      </w:tr>
      <w:tr>
        <w:tc>
          <w:tcPr>
            <w:tcW w:type="dxa" w:w="2880"/>
          </w:tcPr>
          <w:p>
            <w:r/>
            <w:r>
              <w:rPr>
                <w:rFonts w:ascii="Calibri" w:hAnsi="Calibri" w:eastAsia="Calibri"/>
                <w:b w:val="0"/>
                <w:i w:val="0"/>
                <w:color w:val="14171C"/>
                <w:sz w:val="20"/>
              </w:rPr>
              <w:t>Sampled accuracy + FNR</w:t>
            </w:r>
          </w:p>
        </w:tc>
        <w:tc>
          <w:tcPr>
            <w:tcW w:type="dxa" w:w="2880"/>
          </w:tcPr>
          <w:p>
            <w:r/>
            <w:r>
              <w:rPr>
                <w:rFonts w:ascii="Calibri" w:hAnsi="Calibri" w:eastAsia="Calibri"/>
                <w:b w:val="0"/>
                <w:i w:val="0"/>
                <w:color w:val="14171C"/>
                <w:sz w:val="20"/>
              </w:rPr>
              <w:t>Monthly in pilot; quarterly live</w:t>
            </w:r>
          </w:p>
        </w:tc>
        <w:tc>
          <w:tcPr>
            <w:tcW w:type="dxa" w:w="2880"/>
          </w:tcPr>
          <w:p>
            <w:r/>
            <w:r>
              <w:rPr>
                <w:rFonts w:ascii="Calibri" w:hAnsi="Calibri" w:eastAsia="Calibri"/>
                <w:b w:val="0"/>
                <w:i w:val="0"/>
                <w:color w:val="14171C"/>
                <w:sz w:val="20"/>
              </w:rPr>
              <w:t>Quality Lead</w:t>
            </w:r>
          </w:p>
        </w:tc>
      </w:tr>
      <w:tr>
        <w:tc>
          <w:tcPr>
            <w:tcW w:type="dxa" w:w="2880"/>
          </w:tcPr>
          <w:p>
            <w:r/>
            <w:r>
              <w:rPr>
                <w:rFonts w:ascii="Calibri" w:hAnsi="Calibri" w:eastAsia="Calibri"/>
                <w:b w:val="0"/>
                <w:i w:val="0"/>
                <w:color w:val="14171C"/>
                <w:sz w:val="20"/>
              </w:rPr>
              <w:t>Incident / override review</w:t>
            </w:r>
          </w:p>
        </w:tc>
        <w:tc>
          <w:tcPr>
            <w:tcW w:type="dxa" w:w="2880"/>
          </w:tcPr>
          <w:p>
            <w:r/>
            <w:r>
              <w:rPr>
                <w:rFonts w:ascii="Calibri" w:hAnsi="Calibri" w:eastAsia="Calibri"/>
                <w:b w:val="0"/>
                <w:i w:val="0"/>
                <w:color w:val="14171C"/>
                <w:sz w:val="20"/>
              </w:rPr>
              <w:t>Monthly</w:t>
            </w:r>
          </w:p>
        </w:tc>
        <w:tc>
          <w:tcPr>
            <w:tcW w:type="dxa" w:w="2880"/>
          </w:tcPr>
          <w:p>
            <w:r/>
            <w:r>
              <w:rPr>
                <w:rFonts w:ascii="Calibri" w:hAnsi="Calibri" w:eastAsia="Calibri"/>
                <w:b w:val="0"/>
                <w:i w:val="0"/>
                <w:color w:val="14171C"/>
                <w:sz w:val="20"/>
              </w:rPr>
              <w:t>Controls Lead</w:t>
            </w:r>
          </w:p>
        </w:tc>
      </w:tr>
      <w:tr>
        <w:tc>
          <w:tcPr>
            <w:tcW w:type="dxa" w:w="2880"/>
          </w:tcPr>
          <w:p>
            <w:r/>
            <w:r>
              <w:rPr>
                <w:rFonts w:ascii="Calibri" w:hAnsi="Calibri" w:eastAsia="Calibri"/>
                <w:b w:val="0"/>
                <w:i w:val="0"/>
                <w:color w:val="14171C"/>
                <w:sz w:val="20"/>
              </w:rPr>
              <w:t>Vendor / model risk</w:t>
            </w:r>
          </w:p>
        </w:tc>
        <w:tc>
          <w:tcPr>
            <w:tcW w:type="dxa" w:w="2880"/>
          </w:tcPr>
          <w:p>
            <w:r/>
            <w:r>
              <w:rPr>
                <w:rFonts w:ascii="Calibri" w:hAnsi="Calibri" w:eastAsia="Calibri"/>
                <w:b w:val="0"/>
                <w:i w:val="0"/>
                <w:color w:val="14171C"/>
                <w:sz w:val="20"/>
              </w:rPr>
              <w:t>On change + annually</w:t>
            </w:r>
          </w:p>
        </w:tc>
        <w:tc>
          <w:tcPr>
            <w:tcW w:type="dxa" w:w="2880"/>
          </w:tcPr>
          <w:p>
            <w:r/>
            <w:r>
              <w:rPr>
                <w:rFonts w:ascii="Calibri" w:hAnsi="Calibri" w:eastAsia="Calibri"/>
                <w:b w:val="0"/>
                <w:i w:val="0"/>
                <w:color w:val="14171C"/>
                <w:sz w:val="20"/>
              </w:rPr>
              <w:t>Systems Owner</w:t>
            </w:r>
          </w:p>
        </w:tc>
      </w:tr>
    </w:tbl>
    <w:p/>
    <w:p>
      <w:pPr>
        <w:spacing w:before="320" w:after="120"/>
      </w:pPr>
      <w:r>
        <w:rPr>
          <w:rFonts w:ascii="Calibri" w:hAnsi="Calibri" w:eastAsia="Calibri"/>
          <w:b/>
          <w:i w:val="0"/>
          <w:color w:val="14171C"/>
          <w:sz w:val="32"/>
        </w:rPr>
        <w:t>Blank version — complete for your entity</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eastAsia="Calibri"/>
                <w:b/>
                <w:i w:val="0"/>
                <w:color w:val="14171C"/>
                <w:sz w:val="20"/>
              </w:rPr>
              <w:t>Field</w:t>
            </w:r>
          </w:p>
        </w:tc>
        <w:tc>
          <w:tcPr>
            <w:tcW w:type="dxa" w:w="4320"/>
          </w:tcPr>
          <w:p>
            <w:r/>
            <w:r>
              <w:rPr>
                <w:rFonts w:ascii="Calibri" w:hAnsi="Calibri" w:eastAsia="Calibri"/>
                <w:b/>
                <w:i w:val="0"/>
                <w:color w:val="14171C"/>
                <w:sz w:val="20"/>
              </w:rPr>
              <w:t>Your content</w:t>
            </w:r>
          </w:p>
        </w:tc>
      </w:tr>
      <w:tr>
        <w:tc>
          <w:tcPr>
            <w:tcW w:type="dxa" w:w="4320"/>
          </w:tcPr>
          <w:p>
            <w:r/>
            <w:r>
              <w:rPr>
                <w:rFonts w:ascii="Calibri" w:hAnsi="Calibri" w:eastAsia="Calibri"/>
                <w:b w:val="0"/>
                <w:i w:val="0"/>
                <w:color w:val="14171C"/>
                <w:sz w:val="20"/>
              </w:rPr>
              <w:t>Entity</w:t>
            </w:r>
          </w:p>
        </w:tc>
        <w:tc>
          <w:tcPr>
            <w:tcW w:type="dxa" w:w="4320"/>
          </w:tcPr>
          <w:p>
            <w:r/>
            <w:r>
              <w:rPr>
                <w:rFonts w:ascii="Calibri" w:hAnsi="Calibri" w:eastAsia="Calibri"/>
                <w:b w:val="0"/>
                <w:i w:val="0"/>
                <w:color w:val="14171C"/>
                <w:sz w:val="20"/>
              </w:rPr>
            </w:r>
          </w:p>
        </w:tc>
      </w:tr>
      <w:tr>
        <w:tc>
          <w:tcPr>
            <w:tcW w:type="dxa" w:w="4320"/>
          </w:tcPr>
          <w:p>
            <w:r/>
            <w:r>
              <w:rPr>
                <w:rFonts w:ascii="Calibri" w:hAnsi="Calibri" w:eastAsia="Calibri"/>
                <w:b w:val="0"/>
                <w:i w:val="0"/>
                <w:color w:val="14171C"/>
                <w:sz w:val="20"/>
              </w:rPr>
              <w:t>Agent inventory attached</w:t>
            </w:r>
          </w:p>
        </w:tc>
        <w:tc>
          <w:tcPr>
            <w:tcW w:type="dxa" w:w="4320"/>
          </w:tcPr>
          <w:p>
            <w:r/>
            <w:r>
              <w:rPr>
                <w:rFonts w:ascii="Calibri" w:hAnsi="Calibri" w:eastAsia="Calibri"/>
                <w:b w:val="0"/>
                <w:i w:val="0"/>
                <w:color w:val="14171C"/>
                <w:sz w:val="20"/>
              </w:rPr>
            </w:r>
          </w:p>
        </w:tc>
      </w:tr>
      <w:tr>
        <w:tc>
          <w:tcPr>
            <w:tcW w:type="dxa" w:w="4320"/>
          </w:tcPr>
          <w:p>
            <w:r/>
            <w:r>
              <w:rPr>
                <w:rFonts w:ascii="Calibri" w:hAnsi="Calibri" w:eastAsia="Calibri"/>
                <w:b w:val="0"/>
                <w:i w:val="0"/>
                <w:color w:val="14171C"/>
                <w:sz w:val="20"/>
              </w:rPr>
              <w:t>Exceptions to standard</w:t>
            </w:r>
          </w:p>
        </w:tc>
        <w:tc>
          <w:tcPr>
            <w:tcW w:type="dxa" w:w="4320"/>
          </w:tcPr>
          <w:p>
            <w:r/>
            <w:r>
              <w:rPr>
                <w:rFonts w:ascii="Calibri" w:hAnsi="Calibri" w:eastAsia="Calibri"/>
                <w:b w:val="0"/>
                <w:i w:val="0"/>
                <w:color w:val="14171C"/>
                <w:sz w:val="20"/>
              </w:rPr>
            </w:r>
          </w:p>
        </w:tc>
      </w:tr>
      <w:tr>
        <w:tc>
          <w:tcPr>
            <w:tcW w:type="dxa" w:w="4320"/>
          </w:tcPr>
          <w:p>
            <w:r/>
            <w:r>
              <w:rPr>
                <w:rFonts w:ascii="Calibri" w:hAnsi="Calibri" w:eastAsia="Calibri"/>
                <w:b w:val="0"/>
                <w:i w:val="0"/>
                <w:color w:val="14171C"/>
                <w:sz w:val="20"/>
              </w:rPr>
              <w:t>Next certification date</w:t>
            </w:r>
          </w:p>
        </w:tc>
        <w:tc>
          <w:tcPr>
            <w:tcW w:type="dxa" w:w="4320"/>
          </w:tcPr>
          <w:p>
            <w:r/>
            <w:r>
              <w:rPr>
                <w:rFonts w:ascii="Calibri" w:hAnsi="Calibri" w:eastAsia="Calibri"/>
                <w:b w:val="0"/>
                <w:i w:val="0"/>
                <w:color w:val="14171C"/>
                <w:sz w:val="20"/>
              </w:rPr>
            </w:r>
          </w:p>
        </w:tc>
      </w:tr>
      <w:tr>
        <w:tc>
          <w:tcPr>
            <w:tcW w:type="dxa" w:w="4320"/>
          </w:tcPr>
          <w:p>
            <w:r/>
            <w:r>
              <w:rPr>
                <w:rFonts w:ascii="Calibri" w:hAnsi="Calibri" w:eastAsia="Calibri"/>
                <w:b w:val="0"/>
                <w:i w:val="0"/>
                <w:color w:val="14171C"/>
                <w:sz w:val="20"/>
              </w:rPr>
              <w:t>Approver</w:t>
            </w:r>
          </w:p>
        </w:tc>
        <w:tc>
          <w:tcPr>
            <w:tcW w:type="dxa" w:w="4320"/>
          </w:tcPr>
          <w:p>
            <w:r/>
            <w:r>
              <w:rPr>
                <w:rFonts w:ascii="Calibri" w:hAnsi="Calibri" w:eastAsia="Calibri"/>
                <w:b w:val="0"/>
                <w:i w:val="0"/>
                <w:color w:val="14171C"/>
                <w:sz w:val="20"/>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