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E5C45"/>
          <w:sz w:val="20"/>
        </w:rPr>
        <w:t>EVIDENCE ROOM</w:t>
      </w:r>
    </w:p>
    <w:p>
      <w:r>
        <w:rPr>
          <w:rFonts w:ascii="Calibri" w:hAnsi="Calibri" w:eastAsia="Calibri"/>
          <w:b/>
          <w:i w:val="0"/>
          <w:color w:val="14171C"/>
          <w:sz w:val="44"/>
        </w:rPr>
        <w:t>Implementation plan — single agent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20"/>
        </w:rPr>
        <w:t>Illustrative 4–6 week path. Duration is not a commitment.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18"/>
        </w:rPr>
        <w:t>Version 1.0 · September 2026 · Licensed material · Flag legal review before customer-facing use as a contract.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Worked example — A05 Goods Receipt, Northline plants 1000–1200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Week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Work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Exit evidence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Owner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Baseline GRNI count and ageing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Extract + O11 baseline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AP Manager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Walkthrough + charter signed at Level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Charter in registry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Receiving Lead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Read-only access + historic packs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20 historic cases scored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Systems + A05 owner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3–4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Shadow vs human chase decisions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Agreement 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Receiving Lead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Steering: hold / limited Level 1 drafts via A09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Decision minute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Head of SSC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Expand plants only if O + R hold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Annex to charter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AP Manager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22"/>
        </w:rPr>
        <w:t>Depends on ERP access, SoD, data quality, and organisational governance. Multi-entity and unclear ownership extend the path.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Blank version — complete for your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Your 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Population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Start level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Weeks 0–6 work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Decline criteria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Steering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