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E5C45"/>
          <w:sz w:val="20"/>
        </w:rPr>
        <w:t>EVIDENCE ROOM</w:t>
      </w:r>
    </w:p>
    <w:p>
      <w:r>
        <w:rPr>
          <w:rFonts w:ascii="Calibri" w:hAnsi="Calibri" w:eastAsia="Calibri"/>
          <w:b/>
          <w:i w:val="0"/>
          <w:color w:val="14171C"/>
          <w:sz w:val="44"/>
        </w:rPr>
        <w:t>Process discovery meeting guide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20"/>
        </w:rPr>
        <w:t>60–90 minutes. Example agenda + blank notes.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18"/>
        </w:rPr>
        <w:t>Version 1.0 · September 2026 · Licensed material · Flag legal review before customer-facing use as a contract.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Script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4171C"/>
          <w:sz w:val="22"/>
        </w:rPr>
        <w:t>1. Show one live invoice (or a redacted Northline-style pack). 2. Ask: where did it arrive? who touched it? which system is book of record? what stops a post? who can override? what evidence remains? 3. Do not discuss vendors in this meeting.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Listen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Where does the invoice enter?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Email chaos vs portal vs 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When is it a PO invoice vs non-PO?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Habit vs 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What is an exception, in your words?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Whether a taxonomy exists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Who posts a GR? Who chases?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Split brain between AP and warehouse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Who can change a vendor bank?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SoD or folklore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What would 'the bot got it wrong' look like?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Failure imagination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Blank version — complete for your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Your 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Attendees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Invoice ID discussed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Systems named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Decisions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Exceptions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Controls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Open questions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