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E5C45"/>
          <w:sz w:val="20"/>
        </w:rPr>
        <w:t>EVIDENCE ROOM</w:t>
      </w:r>
    </w:p>
    <w:p>
      <w:r>
        <w:rPr>
          <w:rFonts w:ascii="Calibri" w:hAnsi="Calibri" w:eastAsia="Calibri"/>
          <w:b/>
          <w:i w:val="0"/>
          <w:color w:val="14171C"/>
          <w:sz w:val="44"/>
        </w:rPr>
        <w:t>RACI — AP agent path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20"/>
        </w:rPr>
        <w:t>Example: PO invoice with missing GR. Blank matrix follows.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18"/>
        </w:rPr>
        <w:t>Version 1.0 · September 2026 · Licensed material · Flag legal review before customer-facing use as a contract.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Worked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Activity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AP Mgr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Receiver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Buyer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Payments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IA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A05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A09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A16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Detect aged GRNI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Draft internal chase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Confirm physical receipt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R/A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Post GR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R/A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Escalate &gt; SLA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22"/>
        </w:rPr>
        <w:t>Agents are never Accountable. A human remains A. Em-dash means the agent is excluded.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Blank version — complete for your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Your 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Activity 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Activity 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Activity 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Activity 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Activity 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color w:val="14171C"/>
          <w:sz w:val="22"/>
        </w:rPr>
        <w:t>Duplicate the table above and replace role columns for your organisation.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