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E5C45"/>
          <w:sz w:val="20"/>
        </w:rPr>
        <w:t>EVIDENCE ROOM</w:t>
      </w:r>
    </w:p>
    <w:p>
      <w:r>
        <w:rPr>
          <w:rFonts w:ascii="Calibri" w:hAnsi="Calibri" w:eastAsia="Calibri"/>
          <w:b/>
          <w:i w:val="0"/>
          <w:color w:val="14171C"/>
          <w:sz w:val="44"/>
        </w:rPr>
        <w:t>Risk assessment — AP agent instance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20"/>
        </w:rPr>
        <w:t>Example risks for a payment-adjacent agent.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18"/>
        </w:rPr>
        <w:t>Version 1.0 · September 2026 · Licensed material · Flag legal review before customer-facing use as a contract.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Worked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Risk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Inherent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Treatment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Residual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Owner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RK-12-01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Agent releases a payment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Critical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Role deny + C-A12-01 + job monitor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Payments Lead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RK-12-02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Challenge pack treated as approval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SOP: silence ≠ approval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Med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Payments Lead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RK-10-01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Anomaly screen sold as fraud detection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Output schema forbids verdict language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Med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Controls Lead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RK-ALL-01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Invoice-body prompt injection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Untrusted text; no tools from body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Med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Systems Owner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Blank version — complete for your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Your 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Risk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Inherent L/I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Treatment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Residual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Review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