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SOP template — AP agent-supported procedure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Example: missing goods receipt chase (Northline, fictional) + blank.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 (fictional)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SOP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NL-AP-SOP-GR-05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Chase missing goods receipts &gt; 5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Process owner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Receiving Lead (backup: Warehouse Manager)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A05 Goods Receipt — Level 0 (Observe)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Population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SAP plants 1000–1400; PO invoices parked pending GR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Open GRNI item age &gt; 5 calendar days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Human 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1) Confirm PO/line. 2) Confirm physical receipt. 3) Post GR or reject chase. 4) Code E07/E08.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Build chase pack: PO, vendor, receiver, age, prior chases. Do not post GR.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Exclusions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No GR posting. No invoice post. No supplier email (that is A08).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C-A05 — agent cannot post; weekly sample of packs vs warehouse floor.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Pack ID, timestamps, owner action, GR document or reject reason.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KPI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O11 missing-receipt reduction; O10 on-time internal follow-up; R4 rework.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Failure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If receiver unknown: escalate to buyer; do not invent a name.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Procedure (example narrative)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14171C"/>
          <w:sz w:val="22"/>
        </w:rPr>
        <w:t>Daily, A05 lists GRNI items older than policy. A09 may draft the internal note. The receiver confirms receipt or dispute. The human posts the GR or codes a residual exception. A05 never writes the goods-receipt document.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SOP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Process owner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+ level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Population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Human 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steps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Exclusions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KPI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Failure / fallback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