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color w:val="1F6F78"/>
          <w:sz w:val="24"/>
        </w:rPr>
        <w:t>EVIDENCE ROOM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2"/>
        </w:rPr>
        <w:t>Implementation Plan Template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90-day plan scaffold for one bounded AP agent</w:t>
      </w:r>
    </w:p>
    <w:p>
      <w:r>
        <w:rPr>
          <w:rFonts w:ascii="Calibri" w:hAnsi="Calibri" w:eastAsia="Calibri"/>
          <w:b w:val="0"/>
          <w:i w:val="0"/>
          <w:color w:val="0B1F33"/>
          <w:sz w:val="20"/>
        </w:rPr>
        <w:t>AP Agent OS · Version 1.0.0 · 2026-03-20</w:t>
      </w:r>
    </w:p>
    <w:p>
      <w:r>
        <w:rPr>
          <w:rFonts w:ascii="Calibri" w:hAnsi="Calibri" w:eastAsia="Calibri"/>
          <w:b w:val="0"/>
          <w:i/>
          <w:color w:val="0B1F33"/>
          <w:sz w:val="20"/>
        </w:rPr>
        <w:t>AI that earns responsibility. Governed agents. Measurable outcomes.</w:t>
      </w:r>
    </w:p>
    <w:p/>
    <w:p>
      <w:r>
        <w:rPr>
          <w:rFonts w:ascii="Calibri" w:hAnsi="Calibri" w:eastAsia="Calibri"/>
          <w:b w:val="0"/>
          <w:i/>
          <w:color w:val="0B1F33"/>
          <w:sz w:val="22"/>
        </w:rPr>
        <w:t>Note: A well-bounded agent may be achievable in approximately 4–6 weeks in favourable conditions. Actual duration depends on systems, controls, integrations, process complexity, data quality, and governance.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Objectives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Scope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Out of scope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Workstreams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Milestones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Risks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RACI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Budget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Success metrics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Go/no-go gates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