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color w:val="1F6F78"/>
          <w:sz w:val="24"/>
        </w:rPr>
        <w:t>EVIDENCE ROOM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2"/>
        </w:rPr>
        <w:t>Meeting Guide — AP Process Walkthrough</w:t>
      </w:r>
    </w:p>
    <w:p>
      <w:r>
        <w:rPr>
          <w:rFonts w:ascii="Calibri" w:hAnsi="Calibri" w:eastAsia="Calibri"/>
          <w:b w:val="0"/>
          <w:i/>
          <w:color w:val="0B1F33"/>
          <w:sz w:val="22"/>
        </w:rPr>
        <w:t>60–90 minute discovery session</w:t>
      </w:r>
    </w:p>
    <w:p>
      <w:r>
        <w:rPr>
          <w:rFonts w:ascii="Calibri" w:hAnsi="Calibri" w:eastAsia="Calibri"/>
          <w:b w:val="0"/>
          <w:i w:val="0"/>
          <w:color w:val="0B1F33"/>
          <w:sz w:val="20"/>
        </w:rPr>
        <w:t>AP Agent OS · Version 1.0.0 · 2026-03-20</w:t>
      </w:r>
    </w:p>
    <w:p>
      <w:r>
        <w:rPr>
          <w:rFonts w:ascii="Calibri" w:hAnsi="Calibri" w:eastAsia="Calibri"/>
          <w:b w:val="0"/>
          <w:i/>
          <w:color w:val="0B1F33"/>
          <w:sz w:val="20"/>
        </w:rPr>
        <w:t>AI that earns responsibility. Governed agents. Measurable outcomes.</w:t>
      </w:r>
    </w:p>
    <w:p/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Agenda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0–5 min: Purpose and consent for notes/transcript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5–20 min: Walk a recent happy-path invoice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20–45 min: Walk three recent exceptions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45–60 min: Controls, approvals, pain points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60–75 min: Candidate agent boundaries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75–90 min: Next steps and evidence needed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0B1F33"/>
          <w:sz w:val="26"/>
        </w:rPr>
        <w:t>Must-ask questions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must never be automated without a human?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Where do invoices age and why?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Which exceptions repeat every week?</w:t>
      </w:r>
    </w:p>
    <w:p>
      <w:r>
        <w:rPr>
          <w:rFonts w:ascii="Calibri" w:hAnsi="Calibri" w:eastAsia="Calibri"/>
          <w:b w:val="0"/>
          <w:i w:val="0"/>
          <w:color w:val="0B1F33"/>
          <w:sz w:val="22"/>
        </w:rPr>
        <w:t>• What evidence would convince you an agent earned more responsibility?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