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Risk Assessment Template — AP Agent Deployment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Assess before pilot and before each autonomy promotion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Cause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Likelihood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Mitigation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</w:tr>
      <w:tr>
        <w:tc>
          <w:tcPr>
            <w:tcW w:type="dxa" w:w="1234"/>
          </w:tcPr>
          <w:p>
            <w:r>
              <w:t>Incorrect exception classification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Hallucinated supplier communication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Unauthorised data exposure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Prompt injection via invoice content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Silent autonomy expansion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Payment control bypass attempt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Model drift after vendor update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