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i w:val="0"/>
          <w:color w:val="1F6F78"/>
          <w:sz w:val="24"/>
        </w:rPr>
        <w:t>EVIDENCE ROOM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2"/>
        </w:rPr>
        <w:t>SOP Template — AP Agent Supported Process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Standard operating procedure with human and agent lanes</w:t>
      </w:r>
    </w:p>
    <w:p>
      <w:r>
        <w:rPr>
          <w:rFonts w:ascii="Calibri" w:hAnsi="Calibri" w:eastAsia="Calibri"/>
          <w:b w:val="0"/>
          <w:i w:val="0"/>
          <w:color w:val="0B1F33"/>
          <w:sz w:val="20"/>
        </w:rPr>
        <w:t>AP Agent OS · Version 1.0.0 · 2026-03-20</w:t>
      </w:r>
    </w:p>
    <w:p>
      <w:r>
        <w:rPr>
          <w:rFonts w:ascii="Calibri" w:hAnsi="Calibri" w:eastAsia="Calibri"/>
          <w:b w:val="0"/>
          <w:i/>
          <w:color w:val="0B1F33"/>
          <w:sz w:val="20"/>
        </w:rPr>
        <w:t>AI that earns responsibility. Governed agents. Measurable outcomes.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SOP ID / Version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Process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Process owner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Related agent(s)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Related controls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Purpose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State why the procedure exists and which AP risk or outcome it addresses.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Scope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Inclusions, exclusions, entities, systems.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Definitions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Exception codes, autonomy levels, STP, etc.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Roles (RACI)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Responsible, Accountable, Consulted, Informed — human and agent.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Procedure — Human steps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Numbered steps humans perform.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Procedure — Agent steps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Numbered steps agent may perform at approved autonomy.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Decision points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Where judgment remains human-only.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Exceptions &amp; escalations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Link taxonomy codes and SLA.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Evidence &amp; records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What is retained for audit.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KPIs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How performance of this SOP is measured.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Revision history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Version, date, author, change summary.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[Content]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