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 w:val="0"/>
          <w:color w:val="12160F"/>
          <w:sz w:val="44"/>
        </w:rPr>
        <w:t>Meeting guide</w:t>
      </w:r>
    </w:p>
    <w:p>
      <w:r>
        <w:rPr>
          <w:rFonts w:ascii="Calibri" w:hAnsi="Calibri" w:eastAsia="Calibri"/>
          <w:b w:val="0"/>
          <w:color w:val="5A6154"/>
          <w:sz w:val="20"/>
        </w:rPr>
        <w:t>Blank fields are for the licensee. Northline examples are fictional.</w:t>
      </w:r>
    </w:p>
    <w:p>
      <w:pPr>
        <w:pStyle w:val="Heading1"/>
      </w:pPr>
      <w:r>
        <w:rPr>
          <w:color w:val="12160F"/>
        </w:rPr>
        <w:t>Meeting guide</w:t>
      </w:r>
    </w:p>
    <w:p>
      <w:r>
        <w:rPr>
          <w:rFonts w:ascii="Calibri" w:hAnsi="Calibri" w:eastAsia="Calibri"/>
          <w:b w:val="0"/>
          <w:sz w:val="22"/>
        </w:rPr>
        <w:t>**Product:** Evidence Room — AP Agent OS · Professional</w:t>
      </w:r>
    </w:p>
    <w:p>
      <w:r>
        <w:rPr>
          <w:rFonts w:ascii="Calibri" w:hAnsi="Calibri" w:eastAsia="Calibri"/>
          <w:b w:val="0"/>
          <w:sz w:val="22"/>
        </w:rPr>
        <w:t>**Use:** Run the meetings the layer actually needs. Cancel any meeting whose only purpose is “AI excitement.”</w:t>
      </w:r>
    </w:p>
    <w:p>
      <w:r>
        <w:rPr>
          <w:rFonts w:ascii="Calibri" w:hAnsi="Calibri" w:eastAsia="Calibri"/>
          <w:b w:val="0"/>
          <w:sz w:val="22"/>
        </w:rPr>
        <w:t>Steering formats: `Business_Case/EXECUTIVE_STEERING_PACK.md`. Team workshop: `04_AP_AGENT_OS_TEAM/WORKSHOP_AGENDA.md`.</w:t>
      </w:r>
    </w:p>
    <w:p>
      <w:pPr>
        <w:pStyle w:val="Heading2"/>
      </w:pPr>
      <w:r>
        <w:rPr>
          <w:color w:val="12160F"/>
        </w:rPr>
        <w:t>1. Catalogue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rFonts w:ascii="Calibri" w:hAnsi="Calibri" w:eastAsia="Calibri"/>
                <w:b/>
                <w:sz w:val="18"/>
              </w:rPr>
              <w:t>Meeting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/>
                <w:sz w:val="18"/>
              </w:rPr>
              <w:t>Length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/>
                <w:sz w:val="18"/>
              </w:rPr>
              <w:t>Cadence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/>
                <w:sz w:val="18"/>
              </w:rPr>
              <w:t>Owner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/>
                <w:sz w:val="18"/>
              </w:rPr>
              <w:t>Required artefacts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Diagnostic challenger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60–90 min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Once per sit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Scorer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36 questions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Path walkthrough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90 min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Once per path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Facilitator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Five invoices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Charter working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60 min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Per agent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Human owner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JD draft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Operator huddle (L0 start)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20 min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Once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Process Owner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Payment sentence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Exception mix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30 min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Weekly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Desk Lead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Codes, aging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Dual-review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45 min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Weekly in L0/L1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Match Lead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Sample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Language sample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20 min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Fortnightly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Controls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20 outputs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Day-30 observe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45 min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Once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Audit observer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Packets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Recertify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60 min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Day 90 / quarterly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Chair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Gate packs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Informal-helper review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20 min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Monthly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Process Owner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Register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Vendor feature refusal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15 min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As needed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Process Owner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Demo notes</w:t>
            </w:r>
          </w:p>
        </w:tc>
      </w:tr>
    </w:tbl>
    <w:p>
      <w:pPr>
        <w:pStyle w:val="Heading2"/>
      </w:pPr>
      <w:r>
        <w:rPr>
          <w:color w:val="12160F"/>
        </w:rPr>
        <w:t>2. Exception mix (weekly) — script</w:t>
      </w:r>
    </w:p>
    <w:p>
      <w:pPr>
        <w:pStyle w:val="ListNumber"/>
      </w:pPr>
      <w:r>
        <w:t>STOP incidents (2 min).</w:t>
      </w:r>
    </w:p>
    <w:p>
      <w:pPr>
        <w:pStyle w:val="ListNumber"/>
      </w:pPr>
      <w:r>
        <w:t>Volume and open-without-owner (3).</w:t>
      </w:r>
    </w:p>
    <w:p>
      <w:pPr>
        <w:pStyle w:val="ListNumber"/>
      </w:pPr>
      <w:r>
        <w:t>Code mix vs last week (7).</w:t>
      </w:r>
    </w:p>
    <w:p>
      <w:pPr>
        <w:pStyle w:val="ListNumber"/>
      </w:pPr>
      <w:r>
        <w:t>Top five aged items by *person* (8).</w:t>
      </w:r>
    </w:p>
    <w:p>
      <w:pPr>
        <w:pStyle w:val="ListNumber"/>
      </w:pPr>
      <w:r>
        <w:t>EX-OTH candidates for new codes (5).</w:t>
      </w:r>
    </w:p>
    <w:p>
      <w:pPr>
        <w:pStyle w:val="ListNumber"/>
      </w:pPr>
      <w:r>
        <w:t>Language slips (3).</w:t>
      </w:r>
    </w:p>
    <w:p>
      <w:pPr>
        <w:pStyle w:val="ListNumber"/>
      </w:pPr>
      <w:r>
        <w:t>Actions with names (2).</w:t>
      </w:r>
    </w:p>
    <w:p>
      <w:r>
        <w:rPr>
          <w:rFonts w:ascii="Calibri" w:hAnsi="Calibri" w:eastAsia="Calibri"/>
          <w:b w:val="0"/>
          <w:sz w:val="22"/>
        </w:rPr>
        <w:t>**Ban:** “the AI is learning”; savings; fraud counts.</w:t>
      </w:r>
    </w:p>
    <w:p>
      <w:pPr>
        <w:pStyle w:val="Heading2"/>
      </w:pPr>
      <w:r>
        <w:rPr>
          <w:color w:val="12160F"/>
        </w:rPr>
        <w:t>3. Operator huddle — talking points</w:t>
      </w:r>
    </w:p>
    <w:p>
      <w:pPr>
        <w:pStyle w:val="ListBullet"/>
      </w:pPr>
      <w:r>
        <w:t>You work as you do today during shadow.</w:t>
      </w:r>
    </w:p>
    <w:p>
      <w:pPr>
        <w:pStyle w:val="ListBullet"/>
      </w:pPr>
      <w:r>
        <w:t>A recommendation is not a post and not a pay.</w:t>
      </w:r>
    </w:p>
    <w:p>
      <w:pPr>
        <w:pStyle w:val="ListBullet"/>
      </w:pPr>
      <w:r>
        <w:t>If a packet is incomplete, stop.</w:t>
      </w:r>
    </w:p>
    <w:p>
      <w:pPr>
        <w:pStyle w:val="ListBullet"/>
      </w:pPr>
      <w:r>
        <w:t>If someone says “just release it,” name the class and the human.</w:t>
      </w:r>
    </w:p>
    <w:p>
      <w:pPr>
        <w:pStyle w:val="ListBullet"/>
      </w:pPr>
      <w:r>
        <w:t>Flags are hypotheses. Say “possible duplicate,” not “fraud.”</w:t>
      </w:r>
    </w:p>
    <w:p>
      <w:pPr>
        <w:pStyle w:val="ListBullet"/>
      </w:pPr>
      <w:r>
        <w:t>You may reject. Rejects are reviewed, not punished.</w:t>
      </w:r>
    </w:p>
    <w:p>
      <w:pPr>
        <w:pStyle w:val="Heading2"/>
      </w:pPr>
      <w:r>
        <w:rPr>
          <w:color w:val="12160F"/>
        </w:rPr>
        <w:t>4. Charter working session — agenda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Min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Item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0–10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Object types: strike until sampleable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10–25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Duties vs exclusions (read exclusions aloud)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25–35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Evidence pack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35–45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Failure detection and rollback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45–55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Owner / backup confirmation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55–60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Sign or adjourn with a date</w:t>
            </w:r>
          </w:p>
        </w:tc>
      </w:tr>
    </w:tbl>
    <w:p>
      <w:r>
        <w:rPr>
          <w:rFonts w:ascii="Calibri" w:hAnsi="Calibri" w:eastAsia="Calibri"/>
          <w:b w:val="0"/>
          <w:sz w:val="22"/>
        </w:rPr>
        <w:t>If exclusions take less than five minutes, they are incomplete.</w:t>
      </w:r>
    </w:p>
    <w:p>
      <w:pPr>
        <w:pStyle w:val="Heading2"/>
      </w:pPr>
      <w:r>
        <w:rPr>
          <w:color w:val="12160F"/>
        </w:rPr>
        <w:t>5. Notes hygiene</w:t>
      </w:r>
    </w:p>
    <w:p>
      <w:pPr>
        <w:pStyle w:val="ListBullet"/>
      </w:pPr>
      <w:r>
        <w:t>Attendance, decisions, evidence URIs.</w:t>
      </w:r>
    </w:p>
    <w:p>
      <w:pPr>
        <w:pStyle w:val="ListBullet"/>
      </w:pPr>
      <w:r>
        <w:t>No production bank details in notes.</w:t>
      </w:r>
    </w:p>
    <w:p>
      <w:pPr>
        <w:pStyle w:val="ListBullet"/>
      </w:pPr>
      <w:r>
        <w:t>File under the Orchestrator or a controlled share — not a personal chat.</w:t>
      </w:r>
    </w:p>
    <w:p>
      <w:pPr>
        <w:pStyle w:val="Heading2"/>
      </w:pPr>
      <w:r>
        <w:rPr>
          <w:color w:val="12160F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Field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Toolkit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Evidence Room — AP Agent OS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Object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Meeting guide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Edition 1.0.0</w:t>
            </w:r>
          </w:p>
        </w:tc>
      </w:tr>
    </w:tbl>
    <w:p>
      <w:r>
        <w:rPr>
          <w:rFonts w:ascii="Calibri" w:hAnsi="Calibri" w:eastAsia="Calibri"/>
          <w:b/>
          <w:color w:val="12160F"/>
          <w:sz w:val="20"/>
        </w:rPr>
        <w:t>Hard hold: agents do not approve, release, or transmit payment. Vendor-bank change and close attestation stay human.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 w:eastAsia="Calibri"/>
        <w:b w:val="0"/>
        <w:color w:val="5A6154"/>
        <w:sz w:val="16"/>
      </w:rPr>
      <w:t>Working draft. Not legal advice. Payment authorisation stays human.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/>
        <w:b w:val="0"/>
        <w:color w:val="B0893E"/>
        <w:sz w:val="16"/>
      </w:rPr>
      <w:t>EVIDENCE ROOM — AP AGENT OS  ·  Proof before permission.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