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Georgia" w:hAnsi="Georgia" w:eastAsia="Georgia"/>
          <w:b w:val="0"/>
          <w:color w:val="12160F"/>
          <w:sz w:val="44"/>
        </w:rPr>
        <w:t>Process discovery workbook</w:t>
      </w:r>
    </w:p>
    <w:p>
      <w:r>
        <w:rPr>
          <w:rFonts w:ascii="Calibri" w:hAnsi="Calibri" w:eastAsia="Calibri"/>
          <w:b w:val="0"/>
          <w:color w:val="5A6154"/>
          <w:sz w:val="20"/>
        </w:rPr>
        <w:t>Blank fields are for the licensee. Northline examples are fictional.</w:t>
      </w:r>
    </w:p>
    <w:p>
      <w:pPr>
        <w:pStyle w:val="Heading1"/>
      </w:pPr>
      <w:r>
        <w:rPr>
          <w:color w:val="12160F"/>
        </w:rPr>
        <w:t>Process discovery workbook</w:t>
      </w:r>
    </w:p>
    <w:p>
      <w:r>
        <w:rPr>
          <w:rFonts w:ascii="Calibri" w:hAnsi="Calibri" w:eastAsia="Calibri"/>
          <w:b w:val="0"/>
          <w:sz w:val="22"/>
        </w:rPr>
        <w:t>**Product:** Evidence Room — AP Agent OS · Professional</w:t>
      </w:r>
    </w:p>
    <w:p>
      <w:r>
        <w:rPr>
          <w:rFonts w:ascii="Calibri" w:hAnsi="Calibri" w:eastAsia="Calibri"/>
          <w:b w:val="0"/>
          <w:sz w:val="22"/>
        </w:rPr>
        <w:t>**Audience:** Transformation lead, process owner, walkthrough participants</w:t>
      </w:r>
    </w:p>
    <w:p>
      <w:r>
        <w:rPr>
          <w:rFonts w:ascii="Calibri" w:hAnsi="Calibri" w:eastAsia="Calibri"/>
          <w:b w:val="0"/>
          <w:sz w:val="22"/>
        </w:rPr>
        <w:t>**Use:** Discover one invoice-to-pay path well enough to charter Wave 1.</w:t>
      </w:r>
    </w:p>
    <w:p>
      <w:r>
        <w:rPr>
          <w:rFonts w:ascii="Calibri" w:hAnsi="Calibri" w:eastAsia="Calibri"/>
          <w:b w:val="0"/>
          <w:sz w:val="22"/>
        </w:rPr>
        <w:t>**Companion:** `Process_Mapping/PROCESS_WALKTHROUGH_GUIDE.md`, `00_METHODOLOGY.md`.</w:t>
      </w:r>
    </w:p>
    <w:p>
      <w:r>
        <w:rPr>
          <w:rFonts w:ascii="Calibri" w:hAnsi="Calibri" w:eastAsia="Calibri"/>
          <w:b w:val="0"/>
          <w:sz w:val="22"/>
        </w:rPr>
        <w:t>Do not discover “all AP worldwide” in one pass. Pick a path. Northline’s first path (fictional): NIL PO-goods US-OH.</w:t>
      </w:r>
    </w:p>
    <w:p>
      <w:pPr>
        <w:pStyle w:val="Heading2"/>
      </w:pPr>
      <w:r>
        <w:rPr>
          <w:color w:val="12160F"/>
        </w:rPr>
        <w:t>1. Path identity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sz w:val="18"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sz w:val="18"/>
              </w:rPr>
              <w:t>Entry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Path name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Legal entity / plant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Document types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Match policy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3-way / 2-way / GR-IR / non-PO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Volume last quarter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Systems (ERP, capture, mail, portal, bank)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Process owner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Discovery dates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Facilitator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</w:tr>
    </w:tbl>
    <w:p>
      <w:pPr>
        <w:pStyle w:val="Heading2"/>
      </w:pPr>
      <w:r>
        <w:rPr>
          <w:color w:val="12160F"/>
        </w:rPr>
        <w:t>2. Interview set (minimum)</w:t>
      </w:r>
    </w:p>
    <w:p>
      <w:r>
        <w:rPr>
          <w:rFonts w:ascii="Calibri" w:hAnsi="Calibri" w:eastAsia="Calibri"/>
          <w:b w:val="0"/>
          <w:sz w:val="22"/>
        </w:rPr>
        <w:t>Tick when done. Guides: Team pack has longer scripts; this is the Professional minimum.</w:t>
      </w:r>
    </w:p>
    <w:p>
      <w:pPr>
        <w:pStyle w:val="ListBullet"/>
      </w:pPr>
      <w:r>
        <w:t>[ ] AP Operations (intake)</w:t>
      </w:r>
    </w:p>
    <w:p>
      <w:pPr>
        <w:pStyle w:val="ListBullet"/>
      </w:pPr>
      <w:r>
        <w:t>[ ] Matcher (two if possible)</w:t>
      </w:r>
    </w:p>
    <w:p>
      <w:pPr>
        <w:pStyle w:val="ListBullet"/>
      </w:pPr>
      <w:r>
        <w:t>[ ] Exception desk</w:t>
      </w:r>
    </w:p>
    <w:p>
      <w:pPr>
        <w:pStyle w:val="ListBullet"/>
      </w:pPr>
      <w:r>
        <w:t>[ ] Plant / warehouse liaison (if PO goods)</w:t>
      </w:r>
    </w:p>
    <w:p>
      <w:pPr>
        <w:pStyle w:val="ListBullet"/>
      </w:pPr>
      <w:r>
        <w:t>[ ] Approvals coordinator (if non-PO in path)</w:t>
      </w:r>
    </w:p>
    <w:p>
      <w:pPr>
        <w:pStyle w:val="ListBullet"/>
      </w:pPr>
      <w:r>
        <w:t>[ ] Payments / Treasury (even if Agent 12 is closed)</w:t>
      </w:r>
    </w:p>
    <w:p>
      <w:pPr>
        <w:pStyle w:val="ListBullet"/>
      </w:pPr>
      <w:r>
        <w:t>[ ] Vendor master (bank change)</w:t>
      </w:r>
    </w:p>
    <w:p>
      <w:pPr>
        <w:pStyle w:val="ListBullet"/>
      </w:pPr>
      <w:r>
        <w:t>[ ] Controls</w:t>
      </w:r>
    </w:p>
    <w:p>
      <w:pPr>
        <w:pStyle w:val="ListBullet"/>
      </w:pPr>
      <w:r>
        <w:t>[ ] One buyer who creates POs on this path</w:t>
      </w:r>
    </w:p>
    <w:p>
      <w:r>
        <w:rPr>
          <w:rFonts w:ascii="Calibri" w:hAnsi="Calibri" w:eastAsia="Calibri"/>
          <w:b w:val="0"/>
          <w:sz w:val="22"/>
        </w:rPr>
        <w:t>Each interview: 35 minutes. Record with consent or take notes. Do not paste production invoices to Evidence Room.</w:t>
      </w:r>
    </w:p>
    <w:p>
      <w:pPr>
        <w:pStyle w:val="Heading2"/>
      </w:pPr>
      <w:r>
        <w:rPr>
          <w:color w:val="12160F"/>
        </w:rPr>
        <w:t>3. Object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rFonts w:ascii="Calibri" w:hAnsi="Calibri" w:eastAsia="Calibri"/>
                <w:b/>
                <w:sz w:val="18"/>
              </w:rPr>
              <w:t>Object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/>
                <w:sz w:val="18"/>
              </w:rPr>
              <w:t>ID today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/>
                <w:sz w:val="18"/>
              </w:rPr>
              <w:t>Owner today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/>
                <w:sz w:val="18"/>
              </w:rPr>
              <w:t>Where it dies</w:t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Invoice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Exception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GR / service entry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Approval packet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Payment proposal line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</w:tr>
      <w:tr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Statement line (if any)</w:t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2412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</w:tr>
    </w:tbl>
    <w:p>
      <w:r>
        <w:rPr>
          <w:rFonts w:ascii="Calibri" w:hAnsi="Calibri" w:eastAsia="Calibri"/>
          <w:b w:val="0"/>
          <w:sz w:val="22"/>
        </w:rPr>
        <w:t>If an object has no ID, Orchestrator will need one.</w:t>
      </w:r>
    </w:p>
    <w:p>
      <w:pPr>
        <w:pStyle w:val="Heading2"/>
      </w:pPr>
      <w:r>
        <w:rPr>
          <w:color w:val="12160F"/>
        </w:rPr>
        <w:t>4. Walkthrough sheet (five invoices)</w:t>
      </w:r>
    </w:p>
    <w:p>
      <w:r>
        <w:rPr>
          <w:rFonts w:ascii="Calibri" w:hAnsi="Calibri" w:eastAsia="Calibri"/>
          <w:b w:val="0"/>
          <w:sz w:val="22"/>
        </w:rPr>
        <w:t>For each invoice: number (internal), type, minutes observed, stages hit, codes, who touched, whether a packet could be reopened.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06"/>
        <w:gridCol w:w="1206"/>
        <w:gridCol w:w="1206"/>
        <w:gridCol w:w="1206"/>
        <w:gridCol w:w="1206"/>
        <w:gridCol w:w="1206"/>
        <w:gridCol w:w="1206"/>
        <w:gridCol w:w="1206"/>
      </w:tblGrid>
      <w:tr>
        <w:tc>
          <w:tcPr>
            <w:tcW w:type="dxa" w:w="1206"/>
          </w:tcPr>
          <w:p>
            <w:r>
              <w:rPr>
                <w:rFonts w:ascii="Calibri" w:hAnsi="Calibri" w:eastAsia="Calibri"/>
                <w:b/>
                <w:sz w:val="18"/>
              </w:rPr>
              <w:t>#</w:t>
            </w:r>
          </w:p>
        </w:tc>
        <w:tc>
          <w:tcPr>
            <w:tcW w:type="dxa" w:w="1206"/>
          </w:tcPr>
          <w:p>
            <w:r>
              <w:rPr>
                <w:rFonts w:ascii="Calibri" w:hAnsi="Calibri" w:eastAsia="Calibri"/>
                <w:b/>
                <w:sz w:val="18"/>
              </w:rPr>
              <w:t>Doc</w:t>
            </w:r>
          </w:p>
        </w:tc>
        <w:tc>
          <w:tcPr>
            <w:tcW w:type="dxa" w:w="1206"/>
          </w:tcPr>
          <w:p>
            <w:r>
              <w:rPr>
                <w:rFonts w:ascii="Calibri" w:hAnsi="Calibri" w:eastAsia="Calibri"/>
                <w:b/>
                <w:sz w:val="18"/>
              </w:rPr>
              <w:t>Type</w:t>
            </w:r>
          </w:p>
        </w:tc>
        <w:tc>
          <w:tcPr>
            <w:tcW w:type="dxa" w:w="1206"/>
          </w:tcPr>
          <w:p>
            <w:r>
              <w:rPr>
                <w:rFonts w:ascii="Calibri" w:hAnsi="Calibri" w:eastAsia="Calibri"/>
                <w:b/>
                <w:sz w:val="18"/>
              </w:rPr>
              <w:t>Minutes</w:t>
            </w:r>
          </w:p>
        </w:tc>
        <w:tc>
          <w:tcPr>
            <w:tcW w:type="dxa" w:w="1206"/>
          </w:tcPr>
          <w:p>
            <w:r>
              <w:rPr>
                <w:rFonts w:ascii="Calibri" w:hAnsi="Calibri" w:eastAsia="Calibri"/>
                <w:b/>
                <w:sz w:val="18"/>
              </w:rPr>
              <w:t>Stages</w:t>
            </w:r>
          </w:p>
        </w:tc>
        <w:tc>
          <w:tcPr>
            <w:tcW w:type="dxa" w:w="1206"/>
          </w:tcPr>
          <w:p>
            <w:r>
              <w:rPr>
                <w:rFonts w:ascii="Calibri" w:hAnsi="Calibri" w:eastAsia="Calibri"/>
                <w:b/>
                <w:sz w:val="18"/>
              </w:rPr>
              <w:t>Codes</w:t>
            </w:r>
          </w:p>
        </w:tc>
        <w:tc>
          <w:tcPr>
            <w:tcW w:type="dxa" w:w="1206"/>
          </w:tcPr>
          <w:p>
            <w:r>
              <w:rPr>
                <w:rFonts w:ascii="Calibri" w:hAnsi="Calibri" w:eastAsia="Calibri"/>
                <w:b/>
                <w:sz w:val="18"/>
              </w:rPr>
              <w:t>Humans</w:t>
            </w:r>
          </w:p>
        </w:tc>
        <w:tc>
          <w:tcPr>
            <w:tcW w:type="dxa" w:w="1206"/>
          </w:tcPr>
          <w:p>
            <w:r>
              <w:rPr>
                <w:rFonts w:ascii="Calibri" w:hAnsi="Calibri" w:eastAsia="Calibri"/>
                <w:b/>
                <w:sz w:val="18"/>
              </w:rPr>
              <w:t>Reopen? Y/N</w:t>
            </w:r>
          </w:p>
        </w:tc>
      </w:tr>
      <w:tr>
        <w:tc>
          <w:tcPr>
            <w:tcW w:type="dxa" w:w="120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1</w:t>
            </w:r>
          </w:p>
        </w:tc>
        <w:tc>
          <w:tcPr>
            <w:tcW w:type="dxa" w:w="120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20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20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20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20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20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20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</w:tr>
      <w:tr>
        <w:tc>
          <w:tcPr>
            <w:tcW w:type="dxa" w:w="120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2</w:t>
            </w:r>
          </w:p>
        </w:tc>
        <w:tc>
          <w:tcPr>
            <w:tcW w:type="dxa" w:w="120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20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20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20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20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20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20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</w:tr>
      <w:tr>
        <w:tc>
          <w:tcPr>
            <w:tcW w:type="dxa" w:w="120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3</w:t>
            </w:r>
          </w:p>
        </w:tc>
        <w:tc>
          <w:tcPr>
            <w:tcW w:type="dxa" w:w="120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20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20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20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20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20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20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</w:tr>
      <w:tr>
        <w:tc>
          <w:tcPr>
            <w:tcW w:type="dxa" w:w="120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4</w:t>
            </w:r>
          </w:p>
        </w:tc>
        <w:tc>
          <w:tcPr>
            <w:tcW w:type="dxa" w:w="120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20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20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20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20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20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20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</w:tr>
      <w:tr>
        <w:tc>
          <w:tcPr>
            <w:tcW w:type="dxa" w:w="120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5</w:t>
            </w:r>
          </w:p>
        </w:tc>
        <w:tc>
          <w:tcPr>
            <w:tcW w:type="dxa" w:w="120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20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20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20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20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20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20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</w:tr>
    </w:tbl>
    <w:p>
      <w:r>
        <w:rPr>
          <w:rFonts w:ascii="Calibri" w:hAnsi="Calibri" w:eastAsia="Calibri"/>
          <w:b w:val="0"/>
          <w:sz w:val="22"/>
        </w:rPr>
        <w:t>If reopen is N on more than two, diagnostic B6 is at most 2.</w:t>
      </w:r>
    </w:p>
    <w:p>
      <w:pPr>
        <w:pStyle w:val="Heading2"/>
      </w:pPr>
      <w:r>
        <w:rPr>
          <w:color w:val="12160F"/>
        </w:rPr>
        <w:t>5. Code harvest</w:t>
      </w:r>
    </w:p>
    <w:p>
      <w:r>
        <w:rPr>
          <w:rFonts w:ascii="Calibri" w:hAnsi="Calibri" w:eastAsia="Calibri"/>
          <w:b w:val="0"/>
          <w:sz w:val="22"/>
        </w:rPr>
        <w:t>List every park reason heard. Map to the closed list. Mark new candidates for change control — do not invent synonyms.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rFonts w:ascii="Calibri" w:hAnsi="Calibri" w:eastAsia="Calibri"/>
                <w:b/>
                <w:sz w:val="18"/>
              </w:rPr>
              <w:t>Heard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/>
                <w:sz w:val="18"/>
              </w:rPr>
              <w:t>Maps to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/>
                <w:sz w:val="18"/>
              </w:rPr>
              <w:t>New code needed?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</w:tr>
    </w:tbl>
    <w:p>
      <w:pPr>
        <w:pStyle w:val="Heading2"/>
      </w:pPr>
      <w:r>
        <w:rPr>
          <w:color w:val="12160F"/>
        </w:rPr>
        <w:t>6. Informal helpers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rFonts w:ascii="Calibri" w:hAnsi="Calibri" w:eastAsia="Calibri"/>
                <w:b/>
                <w:sz w:val="18"/>
              </w:rPr>
              <w:t>Helper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/>
                <w:sz w:val="18"/>
              </w:rPr>
              <w:t>Where it lives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/>
                <w:sz w:val="18"/>
              </w:rPr>
              <w:t>Can it post / send / pay?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/>
                <w:sz w:val="18"/>
              </w:rPr>
              <w:t>Listed on register?</w:t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/>
                <w:sz w:val="18"/>
              </w:rPr>
              <w:t>Action (off / charter / L0)</w:t>
            </w:r>
          </w:p>
        </w:tc>
      </w:tr>
      <w:tr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  <w:tc>
          <w:tcPr>
            <w:tcW w:type="dxa" w:w="1930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</w:tr>
    </w:tbl>
    <w:p>
      <w:pPr>
        <w:pStyle w:val="Heading2"/>
      </w:pPr>
      <w:r>
        <w:rPr>
          <w:color w:val="12160F"/>
        </w:rPr>
        <w:t>7. Hold tests (do in the room)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rFonts w:ascii="Calibri" w:hAnsi="Calibri" w:eastAsia="Calibri"/>
                <w:b/>
                <w:sz w:val="18"/>
              </w:rPr>
              <w:t>Test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/>
                <w:sz w:val="18"/>
              </w:rPr>
              <w:t>How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/>
                <w:sz w:val="18"/>
              </w:rPr>
              <w:t>Result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Payment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Reconstruct last run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Bank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Last five changes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Dummy GR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Ask “has anyone posted a GR to match?”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DOA climb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Ask “what if the approver is travelling?”</w:t>
            </w:r>
          </w:p>
        </w:tc>
        <w:tc>
          <w:tcPr>
            <w:tcW w:type="dxa" w:w="3216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</w:r>
          </w:p>
        </w:tc>
      </w:tr>
    </w:tbl>
    <w:p>
      <w:pPr>
        <w:pStyle w:val="Heading2"/>
      </w:pPr>
      <w:r>
        <w:rPr>
          <w:color w:val="12160F"/>
        </w:rPr>
        <w:t>8. Discovery findings (one page)</w:t>
      </w:r>
    </w:p>
    <w:p>
      <w:r>
        <w:rPr>
          <w:rFonts w:ascii="Calibri" w:hAnsi="Calibri" w:eastAsia="Calibri"/>
          <w:b w:val="0"/>
          <w:sz w:val="22"/>
        </w:rPr>
        <w:t>**Path is / is not ready to charter Matching because:**</w:t>
      </w:r>
    </w:p>
    <w:p>
      <w:r>
        <w:rPr>
          <w:rFonts w:ascii="Calibri" w:hAnsi="Calibri" w:eastAsia="Calibri"/>
          <w:b w:val="0"/>
          <w:sz w:val="22"/>
        </w:rPr>
        <w:t>**Top three codes:**</w:t>
      </w:r>
    </w:p>
    <w:p>
      <w:r>
        <w:rPr>
          <w:rFonts w:ascii="Calibri" w:hAnsi="Calibri" w:eastAsia="Calibri"/>
          <w:b w:val="0"/>
          <w:sz w:val="22"/>
        </w:rPr>
        <w:t>**Owner gaps:**</w:t>
      </w:r>
    </w:p>
    <w:p>
      <w:r>
        <w:rPr>
          <w:rFonts w:ascii="Calibri" w:hAnsi="Calibri" w:eastAsia="Calibri"/>
          <w:b w:val="0"/>
          <w:sz w:val="22"/>
        </w:rPr>
        <w:t>**Informal helper risk:**</w:t>
      </w:r>
    </w:p>
    <w:p>
      <w:r>
        <w:rPr>
          <w:rFonts w:ascii="Calibri" w:hAnsi="Calibri" w:eastAsia="Calibri"/>
          <w:b w:val="0"/>
          <w:sz w:val="22"/>
        </w:rPr>
        <w:t>**Recommended Wave 1 object type:**</w:t>
      </w:r>
    </w:p>
    <w:p>
      <w:r>
        <w:rPr>
          <w:rFonts w:ascii="Calibri" w:hAnsi="Calibri" w:eastAsia="Calibri"/>
          <w:b w:val="0"/>
          <w:sz w:val="22"/>
        </w:rPr>
        <w:t>**Out of scope until later:**</w:t>
      </w:r>
    </w:p>
    <w:p>
      <w:r>
        <w:rPr>
          <w:rFonts w:ascii="Calibri" w:hAnsi="Calibri" w:eastAsia="Calibri"/>
          <w:b w:val="0"/>
          <w:sz w:val="22"/>
        </w:rPr>
        <w:t>Do not attach a savings estimate to this page.</w:t>
      </w:r>
    </w:p>
    <w:p>
      <w:pPr>
        <w:pStyle w:val="Heading2"/>
      </w:pPr>
      <w:r>
        <w:rPr>
          <w:color w:val="12160F"/>
        </w:rPr>
        <w:t>9. Artefacts to file</w:t>
      </w:r>
    </w:p>
    <w:p>
      <w:pPr>
        <w:pStyle w:val="ListBullet"/>
      </w:pPr>
      <w:r>
        <w:t>Map (`PROCESS_MAP_TEMPLATE.md`)</w:t>
      </w:r>
    </w:p>
    <w:p>
      <w:pPr>
        <w:pStyle w:val="ListBullet"/>
      </w:pPr>
      <w:r>
        <w:t>RACI draft</w:t>
      </w:r>
    </w:p>
    <w:p>
      <w:pPr>
        <w:pStyle w:val="ListBullet"/>
      </w:pPr>
      <w:r>
        <w:t>Control map draft</w:t>
      </w:r>
    </w:p>
    <w:p>
      <w:pPr>
        <w:pStyle w:val="ListBullet"/>
      </w:pPr>
      <w:r>
        <w:t>This workbook, signed by process owner</w:t>
      </w:r>
    </w:p>
    <w:p>
      <w:pPr>
        <w:pStyle w:val="Heading2"/>
      </w:pPr>
      <w:r>
        <w:rPr>
          <w:color w:val="12160F"/>
        </w:rP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sz w:val="18"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/>
                <w:sz w:val="18"/>
              </w:rPr>
              <w:t>Value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Toolkit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Evidence Room — AP Agent OS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Object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Process discovery workbook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Status</w:t>
            </w:r>
          </w:p>
        </w:tc>
        <w:tc>
          <w:tcPr>
            <w:tcW w:type="dxa" w:w="4824"/>
          </w:tcPr>
          <w:p>
            <w:r>
              <w:rPr>
                <w:rFonts w:ascii="Calibri" w:hAnsi="Calibri" w:eastAsia="Calibri"/>
                <w:b w:val="0"/>
                <w:color w:val="12160F"/>
                <w:sz w:val="18"/>
              </w:rPr>
              <w:t>Edition 1.0.0</w:t>
            </w:r>
          </w:p>
        </w:tc>
      </w:tr>
    </w:tbl>
    <w:p>
      <w:r>
        <w:rPr>
          <w:rFonts w:ascii="Calibri" w:hAnsi="Calibri" w:eastAsia="Calibri"/>
          <w:b/>
          <w:color w:val="12160F"/>
          <w:sz w:val="20"/>
        </w:rPr>
        <w:t>Hard hold: agents do not approve, release, or transmit payment. Vendor-bank change and close attestation stay human.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eastAsia="Calibri"/>
        <w:b w:val="0"/>
        <w:color w:val="5A6154"/>
        <w:sz w:val="16"/>
      </w:rPr>
      <w:t>Working draft. Not legal advice. Payment authorisation stays human.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Calibri"/>
        <w:b w:val="0"/>
        <w:color w:val="B0893E"/>
        <w:sz w:val="16"/>
      </w:rPr>
      <w:t>EVIDENCE ROOM — AP AGENT OS  ·  Proof before permission.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