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 w:val="0"/>
          <w:color w:val="12160F"/>
          <w:sz w:val="44"/>
        </w:rPr>
        <w:t>SOP template</w:t>
      </w:r>
    </w:p>
    <w:p>
      <w:r>
        <w:rPr>
          <w:rFonts w:ascii="Calibri" w:hAnsi="Calibri" w:eastAsia="Calibri"/>
          <w:b w:val="0"/>
          <w:color w:val="5A6154"/>
          <w:sz w:val="20"/>
        </w:rPr>
        <w:t>Blank fields are for the licensee. Northline examples are fictional.</w:t>
      </w:r>
    </w:p>
    <w:p>
      <w:pPr>
        <w:pStyle w:val="Heading1"/>
      </w:pPr>
      <w:r>
        <w:rPr>
          <w:color w:val="12160F"/>
        </w:rPr>
        <w:t>SOP template</w:t>
      </w:r>
    </w:p>
    <w:p>
      <w:r>
        <w:rPr>
          <w:rFonts w:ascii="Calibri" w:hAnsi="Calibri" w:eastAsia="Calibri"/>
          <w:b w:val="0"/>
          <w:sz w:val="22"/>
        </w:rPr>
        <w:t>**Product:** Evidence Room — AP Agent OS · Professional</w:t>
      </w:r>
    </w:p>
    <w:p>
      <w:r>
        <w:rPr>
          <w:rFonts w:ascii="Calibri" w:hAnsi="Calibri" w:eastAsia="Calibri"/>
          <w:b w:val="0"/>
          <w:sz w:val="22"/>
        </w:rPr>
        <w:t>**Use:** Write a standard operating procedure for a *path* or an *agent-supported activity*.</w:t>
      </w:r>
    </w:p>
    <w:p>
      <w:r>
        <w:rPr>
          <w:rFonts w:ascii="Calibri" w:hAnsi="Calibri" w:eastAsia="Calibri"/>
          <w:b w:val="0"/>
          <w:sz w:val="22"/>
        </w:rPr>
        <w:t>**Rule:** If the SOP is silent, the agent does not do it. Payment release is never an agent step.</w:t>
      </w:r>
    </w:p>
    <w:p>
      <w:r>
        <w:rPr>
          <w:rFonts w:ascii="Calibri" w:hAnsi="Calibri" w:eastAsia="Calibri"/>
          <w:b w:val="0"/>
          <w:sz w:val="22"/>
        </w:rPr>
        <w:t>Part A is blank. Part B is a completed example for Northline Industrials (fictional).</w:t>
      </w:r>
    </w:p>
    <w:p>
      <w:r>
        <w:rPr>
          <w:rFonts w:ascii="Calibri" w:hAnsi="Calibri" w:eastAsia="Calibri"/>
          <w:b w:val="0"/>
          <w:sz w:val="22"/>
        </w:rPr>
        <w:t>Related: `Process_Mapping/SOP_GENERATOR_FRAMEWORK.md`.</w:t>
      </w:r>
    </w:p>
    <w:p>
      <w:pPr>
        <w:pStyle w:val="Heading2"/>
      </w:pPr>
      <w:r>
        <w:rPr>
          <w:color w:val="12160F"/>
        </w:rPr>
        <w:t>Part A — Blank SOP</w:t>
      </w:r>
    </w:p>
    <w:p>
      <w:pPr>
        <w:pStyle w:val="Heading3"/>
      </w:pPr>
      <w:r>
        <w:t>Document header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Entry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SOP ID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Path / agent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Entity / plant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Version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Owner (Accountable human)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Backup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Review date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Related charters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Related codes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3"/>
      </w:pPr>
      <w:r>
        <w:t>1. Purpose</w:t>
      </w:r>
    </w:p>
    <w:p>
      <w:r>
        <w:rPr>
          <w:rFonts w:ascii="Calibri" w:hAnsi="Calibri" w:eastAsia="Calibri"/>
          <w:b w:val="0"/>
          <w:sz w:val="22"/>
        </w:rPr>
        <w:t>One paragraph. State the work object and the human hold.</w:t>
      </w:r>
    </w:p>
    <w:p>
      <w:pPr>
        <w:pStyle w:val="Heading3"/>
      </w:pPr>
      <w:r>
        <w:t>2. Scope</w:t>
      </w:r>
    </w:p>
    <w:p>
      <w:r>
        <w:rPr>
          <w:rFonts w:ascii="Calibri" w:hAnsi="Calibri" w:eastAsia="Calibri"/>
          <w:b w:val="0"/>
          <w:sz w:val="22"/>
        </w:rPr>
        <w:t>**In:**</w:t>
      </w:r>
    </w:p>
    <w:p>
      <w:r>
        <w:rPr>
          <w:rFonts w:ascii="Calibri" w:hAnsi="Calibri" w:eastAsia="Calibri"/>
          <w:b w:val="0"/>
          <w:sz w:val="22"/>
        </w:rPr>
        <w:t>**Out:**</w:t>
      </w:r>
    </w:p>
    <w:p>
      <w:pPr>
        <w:pStyle w:val="Heading3"/>
      </w:pPr>
      <w:r>
        <w:t>3.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Term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Meaning</w:t>
            </w:r>
          </w:p>
        </w:tc>
      </w:tr>
    </w:tbl>
    <w:p>
      <w:pPr>
        <w:pStyle w:val="Heading3"/>
      </w:pPr>
      <w:r>
        <w:t>4.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Role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R / A / C / I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Agents never hold A</w:t>
            </w:r>
          </w:p>
        </w:tc>
      </w:tr>
    </w:tbl>
    <w:p>
      <w:pPr>
        <w:pStyle w:val="Heading3"/>
      </w:pPr>
      <w:r>
        <w:t>5. Trigger</w:t>
      </w:r>
    </w:p>
    <w:p>
      <w:r>
        <w:rPr>
          <w:rFonts w:ascii="Calibri" w:hAnsi="Calibri" w:eastAsia="Calibri"/>
          <w:b w:val="0"/>
          <w:sz w:val="22"/>
        </w:rPr>
        <w:t>What starts the procedure (inbound file, code set, run calendar).</w:t>
      </w:r>
    </w:p>
    <w:p>
      <w:pPr>
        <w:pStyle w:val="Heading3"/>
      </w:pPr>
      <w:r>
        <w:t>6. Procedure</w:t>
      </w:r>
    </w:p>
    <w:p>
      <w:r>
        <w:rPr>
          <w:rFonts w:ascii="Calibri" w:hAnsi="Calibri" w:eastAsia="Calibri"/>
          <w:b w:val="0"/>
          <w:sz w:val="22"/>
        </w:rPr>
        <w:t>Numbered steps. For each step: actor (human or agent ID), action, evidence produced, exit criteria, exception if fail.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Step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Actor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Action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Evidence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Exit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If fail</w:t>
            </w:r>
          </w:p>
        </w:tc>
      </w:tr>
      <w:tr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3"/>
      </w:pPr>
      <w:r>
        <w:t>7. Autonomy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Agent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Level in force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Promotion reference</w:t>
            </w:r>
          </w:p>
        </w:tc>
      </w:tr>
    </w:tbl>
    <w:p>
      <w:pPr>
        <w:pStyle w:val="Heading3"/>
      </w:pPr>
      <w:r>
        <w:t>8. Evidence pack contents</w:t>
      </w:r>
    </w:p>
    <w:p>
      <w:r>
        <w:rPr>
          <w:rFonts w:ascii="Calibri" w:hAnsi="Calibri" w:eastAsia="Calibri"/>
          <w:b w:val="0"/>
          <w:sz w:val="22"/>
        </w:rPr>
        <w:t>List the minimum packet. Incomplete packets do not travel.</w:t>
      </w:r>
    </w:p>
    <w:p>
      <w:pPr>
        <w:pStyle w:val="Heading3"/>
      </w:pPr>
      <w:r>
        <w:t>9. Controls</w:t>
      </w:r>
    </w:p>
    <w:p>
      <w:r>
        <w:rPr>
          <w:rFonts w:ascii="Calibri" w:hAnsi="Calibri" w:eastAsia="Calibri"/>
          <w:b w:val="0"/>
          <w:sz w:val="22"/>
        </w:rPr>
        <w:t>Payment, bank, DOA, sampling, language.</w:t>
      </w:r>
    </w:p>
    <w:p>
      <w:pPr>
        <w:pStyle w:val="Heading3"/>
      </w:pPr>
      <w:r>
        <w:t>10. Records and retention</w:t>
      </w:r>
    </w:p>
    <w:p>
      <w:r>
        <w:rPr>
          <w:rFonts w:ascii="Calibri" w:hAnsi="Calibri" w:eastAsia="Calibri"/>
          <w:b w:val="0"/>
          <w:sz w:val="22"/>
        </w:rPr>
        <w:t>Where packets live; retention per organisational policy (do not invent a legal period).</w:t>
      </w:r>
    </w:p>
    <w:p>
      <w:pPr>
        <w:pStyle w:val="Heading3"/>
      </w:pPr>
      <w:r>
        <w:t>11. Exceptions and escalation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Condition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Clock</w:t>
            </w:r>
          </w:p>
        </w:tc>
      </w:tr>
    </w:tbl>
    <w:p>
      <w:pPr>
        <w:pStyle w:val="Heading3"/>
      </w:pPr>
      <w:r>
        <w:t>12. Change control</w:t>
      </w:r>
    </w:p>
    <w:p>
      <w:r>
        <w:rPr>
          <w:rFonts w:ascii="Calibri" w:hAnsi="Calibri" w:eastAsia="Calibri"/>
          <w:b w:val="0"/>
          <w:sz w:val="22"/>
        </w:rPr>
        <w:t>Prompt, tolerance, and code changes require [ticket type].</w:t>
      </w:r>
    </w:p>
    <w:p>
      <w:pPr>
        <w:pStyle w:val="Heading3"/>
      </w:pPr>
      <w:r>
        <w:t>13. References</w:t>
      </w:r>
    </w:p>
    <w:p>
      <w:r>
        <w:rPr>
          <w:rFonts w:ascii="Calibri" w:hAnsi="Calibri" w:eastAsia="Calibri"/>
          <w:b w:val="0"/>
          <w:sz w:val="22"/>
        </w:rPr>
        <w:t>Charters, maps, decision trees, KPI definitions.</w:t>
      </w:r>
    </w:p>
    <w:p>
      <w:pPr>
        <w:pStyle w:val="Heading3"/>
      </w:pPr>
      <w:r>
        <w:t>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Role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Name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Owner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Controls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Process Owner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2"/>
      </w:pPr>
      <w:r>
        <w:rPr>
          <w:color w:val="12160F"/>
        </w:rPr>
        <w:t>Part B — Example SOP (Northline Industrials — fictional)</w:t>
      </w:r>
    </w:p>
    <w:p>
      <w:r>
        <w:rPr>
          <w:rFonts w:ascii="Calibri" w:hAnsi="Calibri" w:eastAsia="Calibri"/>
          <w:b w:val="0"/>
          <w:sz w:val="22"/>
        </w:rPr>
        <w:t>**SOP-NIL-MATCH-01** · 3-way match — US-OH inventory PO invoices</w:t>
      </w:r>
    </w:p>
    <w:p>
      <w:r>
        <w:rPr>
          <w:rFonts w:ascii="Calibri" w:hAnsi="Calibri" w:eastAsia="Calibri"/>
          <w:b w:val="0"/>
          <w:sz w:val="22"/>
        </w:rPr>
        <w:t>**Version** 1.0 · Effective 7 April 2026 (illustrative)</w:t>
      </w:r>
    </w:p>
    <w:p>
      <w:r>
        <w:rPr>
          <w:rFonts w:ascii="Calibri" w:hAnsi="Calibri" w:eastAsia="Calibri"/>
          <w:b w:val="0"/>
          <w:sz w:val="22"/>
        </w:rPr>
        <w:t>**Owner:** Jordan Hale, AP Match Lead · **Backup:** Exception Desk Lead</w:t>
      </w:r>
    </w:p>
    <w:p>
      <w:r>
        <w:rPr>
          <w:rFonts w:ascii="Calibri" w:hAnsi="Calibri" w:eastAsia="Calibri"/>
          <w:b w:val="0"/>
          <w:sz w:val="22"/>
        </w:rPr>
        <w:t>**Charter:** Agent 03 Matching L1 · Agent 10 L0 · Agent 16 L1</w:t>
      </w:r>
    </w:p>
    <w:p>
      <w:pPr>
        <w:pStyle w:val="Heading3"/>
      </w:pPr>
      <w:r>
        <w:t>1. Purpose</w:t>
      </w:r>
    </w:p>
    <w:p>
      <w:r>
        <w:rPr>
          <w:rFonts w:ascii="Calibri" w:hAnsi="Calibri" w:eastAsia="Calibri"/>
          <w:b w:val="0"/>
          <w:sz w:val="22"/>
        </w:rPr>
        <w:t>Apply the signed 3-way match tree to in-scope Dayton inventory invoices and produce an inspectable worksheet or a coded break. The agent recommends. A human accepts or rejects. Posting is a separate human (or later, a gated L3 class — not in this SOP). Payment is not in this SOP.</w:t>
      </w:r>
    </w:p>
    <w:p>
      <w:pPr>
        <w:pStyle w:val="Heading3"/>
      </w:pPr>
      <w:r>
        <w:t>2. Scope</w:t>
      </w:r>
    </w:p>
    <w:p>
      <w:r>
        <w:rPr>
          <w:rFonts w:ascii="Calibri" w:hAnsi="Calibri" w:eastAsia="Calibri"/>
          <w:b w:val="0"/>
          <w:sz w:val="22"/>
        </w:rPr>
        <w:t>**In:** Company 1000; inventory PO; header ≤ $50,000; 3-way; no open Agent 10 flag.</w:t>
      </w:r>
    </w:p>
    <w:p>
      <w:r>
        <w:rPr>
          <w:rFonts w:ascii="Calibri" w:hAnsi="Calibri" w:eastAsia="Calibri"/>
          <w:b w:val="0"/>
          <w:sz w:val="22"/>
        </w:rPr>
        <w:t>**Out:** Services, intercompany, CA/MX, first invoice from a vendor, header &gt; $50,000, any open flag.</w:t>
      </w:r>
    </w:p>
    <w:p>
      <w:pPr>
        <w:pStyle w:val="Heading3"/>
      </w:pPr>
      <w:r>
        <w:t>3.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Term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Worksheet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Line-level comparison of invoice, PO, GR with tolerances applied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Open flag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Uncleared EX-DUP or EX-ANM on the object</w:t>
            </w:r>
          </w:p>
        </w:tc>
      </w:tr>
    </w:tbl>
    <w:p>
      <w:pPr>
        <w:pStyle w:val="Heading3"/>
      </w:pPr>
      <w:r>
        <w:t>4.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R/A/C/I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Agent 03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 (recommend)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Match specialist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 (accept/edit/reject); A on the accept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AP Match Lead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 for the SOP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Agent 10 / Controls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 on flags; A on clearance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Poster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 on post after accept — human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Process Owner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I; A on charter changes</w:t>
            </w:r>
          </w:p>
        </w:tc>
      </w:tr>
    </w:tbl>
    <w:p>
      <w:pPr>
        <w:pStyle w:val="Heading3"/>
      </w:pPr>
      <w:r>
        <w:t>5. Trigger</w:t>
      </w:r>
    </w:p>
    <w:p>
      <w:r>
        <w:rPr>
          <w:rFonts w:ascii="Calibri" w:hAnsi="Calibri" w:eastAsia="Calibri"/>
          <w:b w:val="0"/>
          <w:sz w:val="22"/>
        </w:rPr>
        <w:t>Object status `ready` from Validation and no open flag.</w:t>
      </w:r>
    </w:p>
    <w:p>
      <w:pPr>
        <w:pStyle w:val="Heading3"/>
      </w:pPr>
      <w:r>
        <w:t>6. Procedure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Step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Actor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Action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Evidence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Exit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/>
                <w:sz w:val="18"/>
              </w:rPr>
              <w:t>If fail</w:t>
            </w:r>
          </w:p>
        </w:tc>
      </w:tr>
      <w:tr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16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Confirm in-scope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Object fields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 / `OUT_OF_SCOPE`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Stop</w:t>
            </w:r>
          </w:p>
        </w:tc>
      </w:tr>
      <w:tr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Shadow flag check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Flag or quiet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Quiet / `ANOMALY_HOLD`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Specialist does not match; Controls owns</w:t>
            </w:r>
          </w:p>
        </w:tc>
      </w:tr>
      <w:tr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03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Apply 3-way + tolerance table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Worksheet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`RECOMMEND_MATCH` or `BREAK`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Code EX-MGR/PRM/QTM/UOM/POE…</w:t>
            </w:r>
          </w:p>
        </w:tc>
      </w:tr>
      <w:tr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4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Specialist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Accept / edit / reject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Log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Accepted / edited / rejected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Reject → 04 triage if still a break</w:t>
            </w:r>
          </w:p>
        </w:tc>
      </w:tr>
      <w:tr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5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Poster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Post if accepted and policy allows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ERP document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Posted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Do not post on a recommendation alone if specialist absent</w:t>
            </w:r>
          </w:p>
        </w:tc>
      </w:tr>
      <w:tr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6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16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Close or park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Status + URI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`ready` / parked</w:t>
            </w:r>
          </w:p>
        </w:tc>
        <w:tc>
          <w:tcPr>
            <w:tcW w:type="dxa" w:w="1608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—</w:t>
            </w:r>
          </w:p>
        </w:tc>
      </w:tr>
    </w:tbl>
    <w:p>
      <w:pPr>
        <w:pStyle w:val="Heading3"/>
      </w:pPr>
      <w:r>
        <w:t>7. Autonomy</w:t>
      </w:r>
    </w:p>
    <w:p>
      <w:r>
        <w:rPr>
          <w:rFonts w:ascii="Calibri" w:hAnsi="Calibri" w:eastAsia="Calibri"/>
          <w:b w:val="0"/>
          <w:sz w:val="22"/>
        </w:rPr>
        <w:t>Agent 03 at L1. No posting by the agent. Promotion requires `AUTONOMY_PROGRESSION.md`.</w:t>
      </w:r>
    </w:p>
    <w:p>
      <w:pPr>
        <w:pStyle w:val="Heading3"/>
      </w:pPr>
      <w:r>
        <w:t>8. Evidence pack</w:t>
      </w:r>
    </w:p>
    <w:p>
      <w:r>
        <w:rPr>
          <w:rFonts w:ascii="Calibri" w:hAnsi="Calibri" w:eastAsia="Calibri"/>
          <w:b w:val="0"/>
          <w:sz w:val="22"/>
        </w:rPr>
        <w:t>Source image; extract; PO number; GR numbers; worksheet; accept log; flag outcome if any.</w:t>
      </w:r>
    </w:p>
    <w:p>
      <w:pPr>
        <w:pStyle w:val="Heading3"/>
      </w:pPr>
      <w:r>
        <w:t>9. Controls</w:t>
      </w:r>
    </w:p>
    <w:p>
      <w:r>
        <w:rPr>
          <w:rFonts w:ascii="Calibri" w:hAnsi="Calibri" w:eastAsia="Calibri"/>
          <w:b w:val="0"/>
          <w:sz w:val="22"/>
        </w:rPr>
        <w:t>Tolerance table read-only. Dummy GR forbidden. Language: no “fraud,” no “approved for payment.”</w:t>
      </w:r>
    </w:p>
    <w:p>
      <w:pPr>
        <w:pStyle w:val="Heading3"/>
      </w:pPr>
      <w:r>
        <w:t>10. Records</w:t>
      </w:r>
    </w:p>
    <w:p>
      <w:r>
        <w:rPr>
          <w:rFonts w:ascii="Calibri" w:hAnsi="Calibri" w:eastAsia="Calibri"/>
          <w:b w:val="0"/>
          <w:sz w:val="22"/>
        </w:rPr>
        <w:t>Worksheets in the Orchestrator URI store; ERP remains accounting SoR. Retention follows Northline finance records schedule (not stated here).</w:t>
      </w:r>
    </w:p>
    <w:p>
      <w:pPr>
        <w:pStyle w:val="Heading3"/>
      </w:pPr>
      <w:r>
        <w:t>11. Escalation</w:t>
      </w:r>
    </w:p>
    <w:p>
      <w:r>
        <w:rPr>
          <w:rFonts w:ascii="Calibri" w:hAnsi="Calibri" w:eastAsia="Calibri"/>
          <w:b w:val="0"/>
          <w:sz w:val="22"/>
        </w:rPr>
        <w:t>Material disagreement &gt; 8% in a weekly sample → Match Lead + Process Owner; L1 may be paused.</w:t>
      </w:r>
    </w:p>
    <w:p>
      <w:pPr>
        <w:pStyle w:val="Heading3"/>
      </w:pPr>
      <w:r>
        <w:t>12. Change control</w:t>
      </w:r>
    </w:p>
    <w:p>
      <w:r>
        <w:rPr>
          <w:rFonts w:ascii="Calibri" w:hAnsi="Calibri" w:eastAsia="Calibri"/>
          <w:b w:val="0"/>
          <w:sz w:val="22"/>
        </w:rPr>
        <w:t>Tree or prompt change = change ticket; restart sample clock for that class.</w:t>
      </w:r>
    </w:p>
    <w:p>
      <w:pPr>
        <w:pStyle w:val="Heading3"/>
      </w:pPr>
      <w:r>
        <w:t>Sign-off (illustrative)</w:t>
      </w:r>
    </w:p>
    <w:p>
      <w:r>
        <w:rPr>
          <w:rFonts w:ascii="Calibri" w:hAnsi="Calibri" w:eastAsia="Calibri"/>
          <w:b w:val="0"/>
          <w:sz w:val="22"/>
        </w:rPr>
        <w:t>Jordan Hale (owner), Elena Ruiz (Controls), Marcus Chen (Process Owner) — 7 April 2026 (fictional).</w:t>
      </w:r>
    </w:p>
    <w:p>
      <w:pPr>
        <w:pStyle w:val="Heading2"/>
      </w:pPr>
      <w:r>
        <w:rPr>
          <w:color w:val="12160F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Toolkit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Evidence Room — AP Agent OS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Object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SOP template + Northline example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Edition 1.0.0</w:t>
            </w:r>
          </w:p>
        </w:tc>
      </w:tr>
    </w:tbl>
    <w:p>
      <w:r>
        <w:rPr>
          <w:rFonts w:ascii="Calibri" w:hAnsi="Calibri" w:eastAsia="Calibri"/>
          <w:b/>
          <w:color w:val="12160F"/>
          <w:sz w:val="20"/>
        </w:rPr>
        <w:t>Hard hold: agents do not approve, release, or transmit payment. Vendor-bank change and close attestation stay human.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Calibri"/>
        <w:b w:val="0"/>
        <w:color w:val="5A6154"/>
        <w:sz w:val="16"/>
      </w:rPr>
      <w:t>Working draft. Not legal advice. Payment authorisation stays human.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b w:val="0"/>
        <w:color w:val="B0893E"/>
        <w:sz w:val="16"/>
      </w:rPr>
      <w:t>EVIDENCE ROOM — AP AGENT OS  ·  Proof before permission.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