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C7349"/>
          <w:sz w:val="20"/>
        </w:rPr>
        <w:t>EVIDENCE ROOM  ·  AP AGENT OS</w:t>
      </w:r>
    </w:p>
    <w:p>
      <w:pPr>
        <w:pStyle w:val="Title"/>
      </w:pPr>
      <w:r>
        <w:t>Agent charter (editable)</w:t>
      </w:r>
    </w:p>
    <w:p>
      <w:pPr>
        <w:pStyle w:val="Heading1"/>
      </w:pPr>
      <w:r>
        <w:t>Complete every field</w:t>
      </w:r>
    </w:p>
    <w:p>
      <w:r>
        <w:t>Name, ID, version, level, owner, sponsor, purpose, scope, exclusions, inputs, tools, output standard, approval, escalation, controls, evidence, KPIs, failure, cost, promotion gate, kill switch, signatures.</w:t>
      </w:r>
    </w:p>
    <w:p>
      <w:pPr>
        <w:pStyle w:val="Heading1"/>
      </w:pPr>
      <w:r>
        <w:t>Example</w:t>
      </w:r>
    </w:p>
    <w:p>
      <w:r>
        <w:t>See Templates/AGENT_CHARTER.md (Goods Receipt, Level 1).</w:t>
      </w:r>
    </w:p>
    <w:p>
      <w:r>
        <w:t>Blank fields mean do not deploy. Not legal or accounting advice. Humans authorise payments.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