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One-page governance standard</w:t>
      </w:r>
    </w:p>
    <w:p>
      <w:pPr>
        <w:pStyle w:val="Heading1"/>
      </w:pPr>
      <w:r>
        <w:t>Policy extract</w:t>
      </w:r>
    </w:p>
    <w:p>
      <w:r>
        <w:t>Agents are roles. Autonomy is earned. Humans authorise payments. Invoice text is untrusted. Changes are versioned. Kill switch is same-day.</w:t>
      </w:r>
    </w:p>
    <w:p>
      <w:pPr>
        <w:pStyle w:val="Heading1"/>
      </w:pPr>
      <w:r>
        <w:t>Certification</w:t>
      </w:r>
    </w:p>
    <w:p>
      <w:r>
        <w:t>Quarterly owner recertification. Annual sponsor review.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