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C7349"/>
          <w:sz w:val="20"/>
        </w:rPr>
        <w:t>EVIDENCE ROOM  ·  AP AGENT OS</w:t>
      </w:r>
    </w:p>
    <w:p>
      <w:pPr>
        <w:pStyle w:val="Title"/>
      </w:pPr>
      <w:r>
        <w:t>RACI — humans and agents</w:t>
      </w:r>
    </w:p>
    <w:p>
      <w:pPr>
        <w:pStyle w:val="Heading1"/>
      </w:pPr>
      <w:r>
        <w:t>Rule</w:t>
      </w:r>
    </w:p>
    <w:p>
      <w:r>
        <w:t>Agents may be Consulted or Responsible for drafts. Accountable is always a human. Payment release is a human A.</w:t>
      </w:r>
    </w:p>
    <w:p>
      <w:pPr>
        <w:pStyle w:val="Heading1"/>
      </w:pPr>
      <w:r>
        <w:t>Example</w:t>
      </w:r>
    </w:p>
    <w:p>
      <w:pPr>
        <w:pStyle w:val="ListBullet"/>
      </w:pPr>
      <w:r>
        <w:t>Triage classification — Agent R, AP Ops A</w:t>
      </w:r>
    </w:p>
    <w:p>
      <w:pPr>
        <w:pStyle w:val="ListBullet"/>
      </w:pPr>
      <w:r>
        <w:t>Send supplier email — Agent C, Query lead A</w:t>
      </w:r>
    </w:p>
    <w:p>
      <w:pPr>
        <w:pStyle w:val="ListBullet"/>
      </w:pPr>
      <w:r>
        <w:t>Release payment — Agent I at most, Payments A</w:t>
      </w:r>
    </w:p>
    <w:p>
      <w:pPr>
        <w:pStyle w:val="Heading1"/>
      </w:pPr>
      <w:r>
        <w:t>Blank</w:t>
      </w:r>
    </w:p>
    <w:p>
      <w:r>
        <w:t>List 8 activities down the left. Columns: AP, Procurement, Receiver, Controls, Payments, Agent.</w:t>
      </w:r>
    </w:p>
    <w:p>
      <w:r>
        <w:t>Blank fields mean do not deploy. Not legal or accounting advice. Humans authorise payments.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