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Agent risk assessment</w:t>
      </w:r>
    </w:p>
    <w:p>
      <w:pPr>
        <w:pStyle w:val="Heading1"/>
      </w:pPr>
      <w:r>
        <w:t>Identify</w:t>
      </w:r>
    </w:p>
    <w:p>
      <w:r>
        <w:t>Use the control matrix risks. Add local ones.</w:t>
      </w:r>
    </w:p>
    <w:p>
      <w:pPr>
        <w:pStyle w:val="Heading1"/>
      </w:pPr>
      <w:r>
        <w:t>Rate</w:t>
      </w:r>
    </w:p>
    <w:p>
      <w:r>
        <w:t>Impact × likelihood. High-risk codes cannot be 'accepted' without Controls.</w:t>
      </w:r>
    </w:p>
    <w:p>
      <w:pPr>
        <w:pStyle w:val="Heading1"/>
      </w:pPr>
      <w:r>
        <w:t>Treat</w:t>
      </w:r>
    </w:p>
    <w:p>
      <w:r>
        <w:t>Preventive first. Detective second. Do not treat by adding adjectives to a slide.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