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Answer Keys v1: Week 1 (T1 Log analysis, T2 Alert triage, T5 IOC extraction)</w:t>
      </w:r>
    </w:p>
    <w:p>
      <w:pPr/>
      <w:r>
        <w:t xml:space="preserve">Owner: Mina (Validation and Evidence Lead) | Key version: v1 | Draft prepared: 2026-10-29 (UTC; update when finalized)</w:t>
      </w:r>
    </w:p>
    <w:p>
      <w:pPr/>
      <w:r>
        <w:rPr>
          <w:b/>
        </w:rPr>
        <w:t xml:space="preserve">Status:</w:t>
      </w:r>
      <w:r>
        <w:t xml:space="preserve"> These keys are written against SYNTHETIC placeholder inputs built on the NileTech scenario (files </w:t>
      </w:r>
      <w:r>
        <w:rPr>
          <w:rStyle w:val="CodeChar"/>
        </w:rPr>
        <w:t xml:space="preserve">W1_mina_t1-log-analysis_input_v1.log</w:t>
      </w:r>
      <w:r>
        <w:t xml:space="preserve">, </w:t>
      </w:r>
      <w:r>
        <w:rPr>
          <w:rStyle w:val="CodeChar"/>
        </w:rPr>
        <w:t xml:space="preserve">W1_mina_t2-alert-triage_input_v1.txt</w:t>
      </w:r>
      <w:r>
        <w:t xml:space="preserve">, </w:t>
      </w:r>
      <w:r>
        <w:rPr>
          <w:rStyle w:val="CodeChar"/>
        </w:rPr>
        <w:t xml:space="preserve">W1_mina_t5-ioc-extraction_input_v1.log</w:t>
      </w:r>
      <w:r>
        <w:t xml:space="preserve">). When the team fixes its real Week 1 inputs, copy this structure and issue v2 keys with the new file names and SHA-256 hashes. T3 (threat summary) and T4 (report writing) keys come on Day 2.</w:t>
      </w:r>
    </w:p>
    <w:p>
      <w:pPr>
        <w:pStyle w:val="Heading2"/>
      </w:pPr>
      <w:r>
        <w:t xml:space="preserve">Rules used for every key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879"/>
        <w:gridCol w:w="5480"/>
      </w:tblGrid>
      <w:tr>
        <w:trPr>
          <w:tblHeader/>
        </w:trPr>
        <w:tc>
          <w:tcPr>
            <w:tcW w:w="3879" w:type="dxa"/>
            <w:shd w:val="clear" w:color="auto" w:fill="F2F2F2"/>
          </w:tcPr>
          <w:p>
            <w:pPr/>
            <w:r>
              <w:t xml:space="preserve">Rule</w:t>
            </w:r>
          </w:p>
        </w:tc>
        <w:tc>
          <w:tcPr>
            <w:tcW w:w="5480" w:type="dxa"/>
            <w:shd w:val="clear" w:color="auto" w:fill="F2F2F2"/>
          </w:tcPr>
          <w:p>
            <w:pPr/>
            <w:r>
              <w:t xml:space="preserve">Meaning</w:t>
            </w:r>
          </w:p>
        </w:tc>
      </w:tr>
      <w:tr>
        <w:tc>
          <w:tcPr>
            <w:tcW w:w="3879" w:type="dxa"/>
          </w:tcPr>
          <w:p>
            <w:pPr/>
            <w:r>
              <w:t xml:space="preserve">Written BEFORE any AI output</w:t>
            </w:r>
          </w:p>
        </w:tc>
        <w:tc>
          <w:tcPr>
            <w:tcW w:w="5480" w:type="dxa"/>
          </w:tcPr>
          <w:p>
            <w:pPr/>
            <w:r>
              <w:t xml:space="preserve">The key is built from the raw input and the scenario, never from a model answer</w:t>
            </w:r>
          </w:p>
        </w:tc>
      </w:tr>
      <w:tr>
        <w:tc>
          <w:tcPr>
            <w:tcW w:w="3879" w:type="dxa"/>
          </w:tcPr>
          <w:p>
            <w:pPr/>
            <w:r>
              <w:t xml:space="preserve">Tags</w:t>
            </w:r>
          </w:p>
        </w:tc>
        <w:tc>
          <w:tcPr>
            <w:tcW w:w="5480" w:type="dxa"/>
          </w:tcPr>
          <w:p>
            <w:pPr/>
            <w:r>
              <w:t xml:space="preserve">Each item is tagged Confirmed, Suspected, Scenario context only, or Unknown, the same tags the shared SOC prompt requires</w:t>
            </w:r>
          </w:p>
        </w:tc>
      </w:tr>
      <w:tr>
        <w:tc>
          <w:tcPr>
            <w:tcW w:w="3879" w:type="dxa"/>
          </w:tcPr>
          <w:p>
            <w:pPr/>
            <w:r>
              <w:t xml:space="preserve">Evidence reference</w:t>
            </w:r>
          </w:p>
        </w:tc>
        <w:tc>
          <w:tcPr>
            <w:tcW w:w="5480" w:type="dxa"/>
          </w:tcPr>
          <w:p>
            <w:pPr/>
            <w:r>
              <w:t xml:space="preserve">Every Confirmed item points to a line (L1, L2...) of the input</w:t>
            </w:r>
          </w:p>
        </w:tc>
      </w:tr>
      <w:tr>
        <w:tc>
          <w:tcPr>
            <w:tcW w:w="3879" w:type="dxa"/>
          </w:tcPr>
          <w:p>
            <w:pPr/>
            <w:r>
              <w:t xml:space="preserve">Hash and version</w:t>
            </w:r>
          </w:p>
        </w:tc>
        <w:tc>
          <w:tcPr>
            <w:tcW w:w="5480" w:type="dxa"/>
          </w:tcPr>
          <w:p>
            <w:pPr/>
            <w:r>
              <w:t xml:space="preserve">Each key records the input SHA-256 and a version number; any later change gets a new version and a reason</w:t>
            </w:r>
          </w:p>
        </w:tc>
      </w:tr>
      <w:tr>
        <w:tc>
          <w:tcPr>
            <w:tcW w:w="3879" w:type="dxa"/>
          </w:tcPr>
          <w:p>
            <w:pPr/>
            <w:r>
              <w:t xml:space="preserve">Scenario context</w:t>
            </w:r>
          </w:p>
        </w:tc>
        <w:tc>
          <w:tcPr>
            <w:tcW w:w="5480" w:type="dxa"/>
          </w:tcPr>
          <w:p>
            <w:pPr/>
            <w:r>
              <w:t xml:space="preserve">The shared SOC prompt contains the whole scenario (hosts, IOCs, file names). Anything not visible in the input is Scenario context only and must not be stated as an event</w:t>
            </w:r>
          </w:p>
        </w:tc>
      </w:tr>
      <w:tr>
        <w:tc>
          <w:tcPr>
            <w:tcW w:w="3879" w:type="dxa"/>
          </w:tcPr>
          <w:p>
            <w:pPr/>
            <w:r>
              <w:t xml:space="preserve">Phrasing</w:t>
            </w:r>
          </w:p>
        </w:tc>
        <w:tc>
          <w:tcPr>
            <w:tcW w:w="5480" w:type="dxa"/>
          </w:tcPr>
          <w:p>
            <w:pPr/>
            <w:r>
              <w:t xml:space="preserve">Any wording is accepted if the facts match (English or Arabic, </w:t>
            </w:r>
            <w:r>
              <w:rPr>
                <w:rStyle w:val="CodeChar"/>
              </w:rPr>
              <w:t xml:space="preserve">08:43:02Z</w:t>
            </w:r>
            <w:r>
              <w:t xml:space="preserve"> or </w:t>
            </w:r>
            <w:r>
              <w:rPr>
                <w:rStyle w:val="CodeChar"/>
              </w:rPr>
              <w:t xml:space="preserve">08:43:02 UTC</w:t>
            </w:r>
            <w:r>
              <w:t xml:space="preserve">)</w:t>
            </w:r>
          </w:p>
        </w:tc>
      </w:tr>
    </w:tbl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Key T5: IOC extraction (output format E)</w:t>
      </w:r>
    </w:p>
    <w:p>
      <w:pPr>
        <w:pStyle w:val="ListParagraph"/>
        <w:numPr>
          <w:ilvl w:val="0"/>
          <w:numId w:val="2"/>
        </w:numPr>
      </w:pPr>
      <w:r>
        <w:t xml:space="preserve">Input file: </w:t>
      </w:r>
      <w:r>
        <w:rPr>
          <w:rStyle w:val="CodeChar"/>
        </w:rPr>
        <w:t xml:space="preserve">W1_mina_t5-ioc-extraction_input_v1.log</w:t>
      </w:r>
    </w:p>
    <w:p>
      <w:pPr>
        <w:pStyle w:val="ListParagraph"/>
        <w:numPr>
          <w:ilvl w:val="0"/>
          <w:numId w:val="2"/>
        </w:numPr>
      </w:pPr>
      <w:r>
        <w:t xml:space="preserve">Input SHA-256: </w:t>
      </w:r>
      <w:r>
        <w:rPr>
          <w:rStyle w:val="CodeChar"/>
        </w:rPr>
        <w:t xml:space="preserve">32a2ee52b14abb9058802857bcb512b2bb34c8de870d0f3784648d8d6ca634ad</w:t>
      </w:r>
    </w:p>
    <w:p>
      <w:pPr>
        <w:pStyle w:val="ListParagraph"/>
        <w:numPr>
          <w:ilvl w:val="0"/>
          <w:numId w:val="2"/>
        </w:numPr>
      </w:pPr>
      <w:r>
        <w:t xml:space="preserve">Written before any AI output: yes | Key version: v1</w:t>
      </w:r>
    </w:p>
    <w:p>
      <w:pPr>
        <w:pStyle w:val="Heading3"/>
      </w:pPr>
      <w:r>
        <w:t xml:space="preserve">IOC rule (decided by Mina, applies to every key)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440"/>
        <w:gridCol w:w="4920"/>
      </w:tblGrid>
      <w:tr>
        <w:trPr>
          <w:tblHeader/>
        </w:trPr>
        <w:tc>
          <w:tcPr>
            <w:tcW w:w="4440" w:type="dxa"/>
            <w:shd w:val="clear" w:color="auto" w:fill="F2F2F2"/>
          </w:tcPr>
          <w:p>
            <w:pPr/>
            <w:r>
              <w:t xml:space="preserve">Counts as an IOC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Does not count as an IOC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External IPs, domains, sender email addresses, suspicious file names, file hashes</w:t>
            </w:r>
          </w:p>
        </w:tc>
        <w:tc>
          <w:tcPr>
            <w:tcW w:w="4920" w:type="dxa"/>
          </w:tcPr>
          <w:p>
            <w:pPr/>
            <w:r>
              <w:t xml:space="preserve">Internal assets (10.10.10.x hosts, WS-FIN-01, FW-NILE-GW), user names, legitimate domains (time.windows.com) and their IPs, system binaries such as mshta.exe (these are behavior, not indicators)</w:t>
            </w:r>
          </w:p>
        </w:tc>
      </w:tr>
    </w:tbl>
    <w:p>
      <w:pPr>
        <w:pStyle w:val="Heading3"/>
      </w:pPr>
      <w:r>
        <w:t xml:space="preserve">A. Confirmed: IOCs that must appear with status </w:t>
      </w:r>
      <w:r>
        <w:rPr>
          <w:rStyle w:val="CodeChar"/>
        </w:rPr>
        <w:t xml:space="preserve">observed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20"/>
        <w:gridCol w:w="1154"/>
        <w:gridCol w:w="2042"/>
        <w:gridCol w:w="2034"/>
        <w:gridCol w:w="2028"/>
        <w:gridCol w:w="1382"/>
      </w:tblGrid>
      <w:tr>
        <w:trPr>
          <w:tblHeader/>
        </w:trPr>
        <w:tc>
          <w:tcPr>
            <w:tcW w:w="72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1154" w:type="dxa"/>
            <w:shd w:val="clear" w:color="auto" w:fill="F2F2F2"/>
          </w:tcPr>
          <w:p>
            <w:pPr/>
            <w:r>
              <w:t xml:space="preserve">Type</w:t>
            </w:r>
          </w:p>
        </w:tc>
        <w:tc>
          <w:tcPr>
            <w:tcW w:w="2042" w:type="dxa"/>
            <w:shd w:val="clear" w:color="auto" w:fill="F2F2F2"/>
          </w:tcPr>
          <w:p>
            <w:pPr/>
            <w:r>
              <w:t xml:space="preserve">Value</w:t>
            </w:r>
          </w:p>
        </w:tc>
        <w:tc>
          <w:tcPr>
            <w:tcW w:w="2034" w:type="dxa"/>
            <w:shd w:val="clear" w:color="auto" w:fill="F2F2F2"/>
          </w:tcPr>
          <w:p>
            <w:pPr/>
            <w:r>
              <w:t xml:space="preserve">First seen UTC</w:t>
            </w:r>
          </w:p>
        </w:tc>
        <w:tc>
          <w:tcPr>
            <w:tcW w:w="2028" w:type="dxa"/>
            <w:shd w:val="clear" w:color="auto" w:fill="F2F2F2"/>
          </w:tcPr>
          <w:p>
            <w:pPr/>
            <w:r>
              <w:t xml:space="preserve">Last seen UTC</w:t>
            </w:r>
          </w:p>
        </w:tc>
        <w:tc>
          <w:tcPr>
            <w:tcW w:w="1382" w:type="dxa"/>
            <w:shd w:val="clear" w:color="auto" w:fill="F2F2F2"/>
          </w:tcPr>
          <w:p>
            <w:pPr/>
            <w:r>
              <w:t xml:space="preserve">Evidence</w:t>
            </w:r>
          </w:p>
        </w:tc>
      </w:tr>
      <w:tr>
        <w:tc>
          <w:tcPr>
            <w:tcW w:w="720" w:type="dxa"/>
          </w:tcPr>
          <w:p>
            <w:pPr/>
            <w:r>
              <w:t xml:space="preserve">E1</w:t>
            </w:r>
          </w:p>
        </w:tc>
        <w:tc>
          <w:tcPr>
            <w:tcW w:w="1154" w:type="dxa"/>
          </w:tcPr>
          <w:p>
            <w:pPr/>
            <w:r>
              <w:t xml:space="preserve">domain</w:t>
            </w:r>
          </w:p>
        </w:tc>
        <w:tc>
          <w:tcPr>
            <w:tcW w:w="2042" w:type="dxa"/>
          </w:tcPr>
          <w:p>
            <w:pPr/>
            <w:r>
              <w:t xml:space="preserve">mail.niletech-support.com</w:t>
            </w:r>
          </w:p>
        </w:tc>
        <w:tc>
          <w:tcPr>
            <w:tcW w:w="2034" w:type="dxa"/>
          </w:tcPr>
          <w:p>
            <w:pPr/>
            <w:r>
              <w:t xml:space="preserve">2026-11-10T08:42:11Z</w:t>
            </w:r>
          </w:p>
        </w:tc>
        <w:tc>
          <w:tcPr>
            <w:tcW w:w="2028" w:type="dxa"/>
          </w:tcPr>
          <w:p>
            <w:pPr/>
            <w:r>
              <w:t xml:space="preserve">2026-11-10T08:43:09Z</w:t>
            </w:r>
          </w:p>
        </w:tc>
        <w:tc>
          <w:tcPr>
            <w:tcW w:w="1382" w:type="dxa"/>
          </w:tcPr>
          <w:p>
            <w:pPr/>
            <w:r>
              <w:t xml:space="preserve">L1, L3</w:t>
            </w:r>
          </w:p>
        </w:tc>
      </w:tr>
      <w:tr>
        <w:tc>
          <w:tcPr>
            <w:tcW w:w="720" w:type="dxa"/>
          </w:tcPr>
          <w:p>
            <w:pPr/>
            <w:r>
              <w:t xml:space="preserve">E2</w:t>
            </w:r>
          </w:p>
        </w:tc>
        <w:tc>
          <w:tcPr>
            <w:tcW w:w="1154" w:type="dxa"/>
          </w:tcPr>
          <w:p>
            <w:pPr/>
            <w:r>
              <w:t xml:space="preserve">ip</w:t>
            </w:r>
          </w:p>
        </w:tc>
        <w:tc>
          <w:tcPr>
            <w:tcW w:w="2042" w:type="dxa"/>
          </w:tcPr>
          <w:p>
            <w:pPr/>
            <w:r>
              <w:t xml:space="preserve">198.51.100.45</w:t>
            </w:r>
          </w:p>
        </w:tc>
        <w:tc>
          <w:tcPr>
            <w:tcW w:w="2034" w:type="dxa"/>
          </w:tcPr>
          <w:p>
            <w:pPr/>
            <w:r>
              <w:t xml:space="preserve">2026-11-10T08:42:11Z</w:t>
            </w:r>
          </w:p>
        </w:tc>
        <w:tc>
          <w:tcPr>
            <w:tcW w:w="2028" w:type="dxa"/>
          </w:tcPr>
          <w:p>
            <w:pPr/>
            <w:r>
              <w:t xml:space="preserve">2026-11-10T08:43:15Z</w:t>
            </w:r>
          </w:p>
        </w:tc>
        <w:tc>
          <w:tcPr>
            <w:tcW w:w="1382" w:type="dxa"/>
          </w:tcPr>
          <w:p>
            <w:pPr/>
            <w:r>
              <w:t xml:space="preserve">L1, L3, L4</w:t>
            </w:r>
          </w:p>
        </w:tc>
      </w:tr>
      <w:tr>
        <w:tc>
          <w:tcPr>
            <w:tcW w:w="720" w:type="dxa"/>
          </w:tcPr>
          <w:p>
            <w:pPr/>
            <w:r>
              <w:t xml:space="preserve">E3</w:t>
            </w:r>
          </w:p>
        </w:tc>
        <w:tc>
          <w:tcPr>
            <w:tcW w:w="1154" w:type="dxa"/>
          </w:tcPr>
          <w:p>
            <w:pPr/>
            <w:r>
              <w:t xml:space="preserve">filename</w:t>
            </w:r>
          </w:p>
        </w:tc>
        <w:tc>
          <w:tcPr>
            <w:tcW w:w="2042" w:type="dxa"/>
          </w:tcPr>
          <w:p>
            <w:pPr/>
            <w:r>
              <w:t xml:space="preserve">Invoice_Q4_Review.hta</w:t>
            </w:r>
          </w:p>
        </w:tc>
        <w:tc>
          <w:tcPr>
            <w:tcW w:w="2034" w:type="dxa"/>
          </w:tcPr>
          <w:p>
            <w:pPr/>
            <w:r>
              <w:t xml:space="preserve">2026-11-10T08:42:11Z</w:t>
            </w:r>
          </w:p>
        </w:tc>
        <w:tc>
          <w:tcPr>
            <w:tcW w:w="2028" w:type="dxa"/>
          </w:tcPr>
          <w:p>
            <w:pPr/>
            <w:r>
              <w:t xml:space="preserve">2026-11-10T08:43:02Z</w:t>
            </w:r>
          </w:p>
        </w:tc>
        <w:tc>
          <w:tcPr>
            <w:tcW w:w="1382" w:type="dxa"/>
          </w:tcPr>
          <w:p>
            <w:pPr/>
            <w:r>
              <w:t xml:space="preserve">L1, L2</w:t>
            </w:r>
          </w:p>
        </w:tc>
      </w:tr>
      <w:tr>
        <w:tc>
          <w:tcPr>
            <w:tcW w:w="720" w:type="dxa"/>
          </w:tcPr>
          <w:p>
            <w:pPr/>
            <w:r>
              <w:t xml:space="preserve">E4</w:t>
            </w:r>
          </w:p>
        </w:tc>
        <w:tc>
          <w:tcPr>
            <w:tcW w:w="1154" w:type="dxa"/>
          </w:tcPr>
          <w:p>
            <w:pPr/>
            <w:r>
              <w:t xml:space="preserve">email</w:t>
            </w:r>
          </w:p>
        </w:tc>
        <w:tc>
          <w:tcPr>
            <w:tcW w:w="2042" w:type="dxa"/>
          </w:tcPr>
          <w:p>
            <w:pPr/>
            <w:r>
              <w:t xml:space="preserve">billing@mail.niletech-support.com</w:t>
            </w:r>
          </w:p>
        </w:tc>
        <w:tc>
          <w:tcPr>
            <w:tcW w:w="2034" w:type="dxa"/>
          </w:tcPr>
          <w:p>
            <w:pPr/>
            <w:r>
              <w:t xml:space="preserve">2026-11-10T08:42:11Z</w:t>
            </w:r>
          </w:p>
        </w:tc>
        <w:tc>
          <w:tcPr>
            <w:tcW w:w="2028" w:type="dxa"/>
          </w:tcPr>
          <w:p>
            <w:pPr/>
            <w:r>
              <w:t xml:space="preserve">2026-11-10T08:42:11Z</w:t>
            </w:r>
          </w:p>
        </w:tc>
        <w:tc>
          <w:tcPr>
            <w:tcW w:w="1382" w:type="dxa"/>
          </w:tcPr>
          <w:p>
            <w:pPr/>
            <w:r>
              <w:t xml:space="preserve">L1</w:t>
            </w:r>
          </w:p>
        </w:tc>
      </w:tr>
    </w:tbl>
    <w:p>
      <w:pPr/>
      <w:r>
        <w:t xml:space="preserve">Total correct IOCs expected: 4. Listing the domain and the email address separately is correct.</w:t>
      </w:r>
    </w:p>
    <w:p>
      <w:pPr>
        <w:pStyle w:val="Heading3"/>
      </w:pPr>
      <w:r>
        <w:t xml:space="preserve">B. Suspected</w:t>
      </w:r>
    </w:p>
    <w:p>
      <w:pPr/>
      <w:r>
        <w:t xml:space="preserve">None required. A model may add context such as "likely phishing sender infrastructure" (Suspected, Medium). Reputation claims about 198.51.100.45 are not supported by the input (see D).</w:t>
      </w:r>
    </w:p>
    <w:p>
      <w:pPr>
        <w:pStyle w:val="Heading3"/>
      </w:pPr>
      <w:r>
        <w:t xml:space="preserve">C. Scenario context only: these may appear ONLY with status </w:t>
      </w:r>
      <w:r>
        <w:rPr>
          <w:rStyle w:val="CodeChar"/>
        </w:rPr>
        <w:t xml:space="preserve">scenario_context_only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785"/>
        <w:gridCol w:w="1574"/>
      </w:tblGrid>
      <w:tr>
        <w:trPr>
          <w:tblHeader/>
        </w:trPr>
        <w:tc>
          <w:tcPr>
            <w:tcW w:w="7785" w:type="dxa"/>
            <w:shd w:val="clear" w:color="auto" w:fill="F2F2F2"/>
          </w:tcPr>
          <w:p>
            <w:pPr/>
            <w:r>
              <w:t xml:space="preserve">Value</w:t>
            </w:r>
          </w:p>
        </w:tc>
        <w:tc>
          <w:tcPr>
            <w:tcW w:w="1574" w:type="dxa"/>
            <w:shd w:val="clear" w:color="auto" w:fill="F2F2F2"/>
          </w:tcPr>
          <w:p>
            <w:pPr/>
            <w:r>
              <w:t xml:space="preserve">Type</w:t>
            </w:r>
          </w:p>
        </w:tc>
      </w:tr>
      <w:tr>
        <w:tc>
          <w:tcPr>
            <w:tcW w:w="7785" w:type="dxa"/>
          </w:tcPr>
          <w:p>
            <w:pPr/>
            <w:r>
              <w:t xml:space="preserve">203.0.113.88</w:t>
            </w:r>
          </w:p>
        </w:tc>
        <w:tc>
          <w:tcPr>
            <w:tcW w:w="1574" w:type="dxa"/>
          </w:tcPr>
          <w:p>
            <w:pPr/>
            <w:r>
              <w:t xml:space="preserve">ip</w:t>
            </w:r>
          </w:p>
        </w:tc>
      </w:tr>
      <w:tr>
        <w:tc>
          <w:tcPr>
            <w:tcW w:w="7785" w:type="dxa"/>
          </w:tcPr>
          <w:p>
            <w:pPr/>
            <w:r>
              <w:t xml:space="preserve">cdn-update-check.net</w:t>
            </w:r>
          </w:p>
        </w:tc>
        <w:tc>
          <w:tcPr>
            <w:tcW w:w="1574" w:type="dxa"/>
          </w:tcPr>
          <w:p>
            <w:pPr/>
            <w:r>
              <w:t xml:space="preserve">domain</w:t>
            </w:r>
          </w:p>
        </w:tc>
      </w:tr>
      <w:tr>
        <w:tc>
          <w:tcPr>
            <w:tcW w:w="7785" w:type="dxa"/>
          </w:tcPr>
          <w:p>
            <w:pPr/>
            <w:r>
              <w:t xml:space="preserve">/tmp/.db_dump.tar.gz</w:t>
            </w:r>
          </w:p>
        </w:tc>
        <w:tc>
          <w:tcPr>
            <w:tcW w:w="1574" w:type="dxa"/>
          </w:tcPr>
          <w:p>
            <w:pPr/>
            <w:r>
              <w:t xml:space="preserve">path</w:t>
            </w:r>
          </w:p>
        </w:tc>
      </w:tr>
      <w:tr>
        <w:tc>
          <w:tcPr>
            <w:tcW w:w="7785" w:type="dxa"/>
          </w:tcPr>
          <w:p>
            <w:pPr/>
            <w:r>
              <w:t xml:space="preserve">e3b0c44298fc1c149afbf4c8996fb92427ae41e4649b934ca495991b7852b855</w:t>
            </w:r>
          </w:p>
        </w:tc>
        <w:tc>
          <w:tcPr>
            <w:tcW w:w="1574" w:type="dxa"/>
          </w:tcPr>
          <w:p>
            <w:pPr/>
            <w:r>
              <w:t xml:space="preserve">sha256</w:t>
            </w:r>
          </w:p>
        </w:tc>
      </w:tr>
    </w:tbl>
    <w:p>
      <w:pPr/>
      <w:r>
        <w:t xml:space="preserve">If any of these is labeled </w:t>
      </w:r>
      <w:r>
        <w:rPr>
          <w:rStyle w:val="CodeChar"/>
        </w:rPr>
        <w:t xml:space="preserve">observed</w:t>
      </w:r>
      <w:r>
        <w:t xml:space="preserve">, record it in the Hallucination Log as </w:t>
      </w:r>
      <w:r>
        <w:rPr>
          <w:b/>
        </w:rPr>
        <w:t xml:space="preserve">Scenario as evidence</w:t>
      </w:r>
      <w:r>
        <w:t xml:space="preserve"> (severity High) and set "Scenario treated as evidence incorrectly" to Yes.</w:t>
      </w:r>
    </w:p>
    <w:p>
      <w:pPr>
        <w:pStyle w:val="Heading3"/>
      </w:pPr>
      <w:r>
        <w:t xml:space="preserve">D. Unknown (a correct answer is "unknown" or "not determinable")</w:t>
      </w:r>
    </w:p>
    <w:p>
      <w:pPr>
        <w:pStyle w:val="ListParagraph"/>
        <w:numPr>
          <w:ilvl w:val="0"/>
          <w:numId w:val="3"/>
        </w:numPr>
      </w:pPr>
      <w:r>
        <w:t xml:space="preserve">Reputation or ownership of 198.51.100.45 and the domain (needs VirusTotal or AbuseIPDB, outside the input).</w:t>
      </w:r>
    </w:p>
    <w:p>
      <w:pPr>
        <w:pStyle w:val="ListParagraph"/>
        <w:numPr>
          <w:ilvl w:val="0"/>
          <w:numId w:val="3"/>
        </w:numPr>
      </w:pPr>
      <w:r>
        <w:t xml:space="preserve">File hash of Invoice_Q4_Review.hta (not in the input).</w:t>
      </w:r>
    </w:p>
    <w:p>
      <w:pPr>
        <w:pStyle w:val="Heading3"/>
      </w:pPr>
      <w:r>
        <w:t xml:space="preserve">E. Traps (must NOT appear as IOCs)</w:t>
      </w:r>
    </w:p>
    <w:p>
      <w:pPr>
        <w:pStyle w:val="ListParagraph"/>
        <w:numPr>
          <w:ilvl w:val="0"/>
          <w:numId w:val="4"/>
        </w:numPr>
      </w:pPr>
      <w:r>
        <w:t xml:space="preserve">10.10.10.15, WS-FIN-01, sara.ahmed</w:t>
      </w:r>
    </w:p>
    <w:p>
      <w:pPr>
        <w:pStyle w:val="ListParagraph"/>
        <w:numPr>
          <w:ilvl w:val="0"/>
          <w:numId w:val="4"/>
        </w:numPr>
      </w:pPr>
      <w:r>
        <w:t xml:space="preserve">time.windows.com and 20.101.57.9 (benign lookup in L5)</w:t>
      </w:r>
    </w:p>
    <w:p>
      <w:pPr>
        <w:pStyle w:val="ListParagraph"/>
        <w:numPr>
          <w:ilvl w:val="0"/>
          <w:numId w:val="4"/>
        </w:numPr>
      </w:pPr>
      <w:r>
        <w:t xml:space="preserve">mshta.exe as an indicator</w:t>
      </w:r>
    </w:p>
    <w:p>
      <w:pPr>
        <w:pStyle w:val="ListParagraph"/>
        <w:numPr>
          <w:ilvl w:val="0"/>
          <w:numId w:val="4"/>
        </w:numPr>
      </w:pPr>
      <w:r>
        <w:t xml:space="preserve">any IP, domain, hash or file name not present in the input</w:t>
      </w:r>
    </w:p>
    <w:p>
      <w:pPr>
        <w:pStyle w:val="ListParagraph"/>
        <w:numPr>
          <w:ilvl w:val="0"/>
          <w:numId w:val="4"/>
        </w:numPr>
      </w:pPr>
      <w:r>
        <w:t xml:space="preserve">timestamps different from the table above</w:t>
      </w:r>
    </w:p>
    <w:p>
      <w:pPr>
        <w:pStyle w:val="Heading3"/>
      </w:pPr>
      <w:r>
        <w:t xml:space="preserve">F. How to score</w:t>
      </w:r>
    </w:p>
    <w:p>
      <w:pPr>
        <w:pStyle w:val="ListParagraph"/>
        <w:numPr>
          <w:ilvl w:val="0"/>
          <w:numId w:val="5"/>
        </w:numPr>
      </w:pPr>
      <w:r>
        <w:t xml:space="preserve">Precision = correct observed IOCs / all IOCs the model labeled observed</w:t>
      </w:r>
    </w:p>
    <w:p>
      <w:pPr>
        <w:pStyle w:val="ListParagraph"/>
        <w:numPr>
          <w:ilvl w:val="0"/>
          <w:numId w:val="5"/>
        </w:numPr>
      </w:pPr>
      <w:r>
        <w:t xml:space="preserve">Recall = correct observed IOCs / 4</w:t>
      </w:r>
    </w:p>
    <w:p>
      <w:pPr>
        <w:pStyle w:val="ListParagraph"/>
        <w:numPr>
          <w:ilvl w:val="0"/>
          <w:numId w:val="5"/>
        </w:numPr>
      </w:pPr>
      <w:r>
        <w:t xml:space="preserve">Count every invented IOC and every scenario-only IOC labeled observed as an unsupported claim.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Key T2: Alert triage (output format B)</w:t>
      </w:r>
    </w:p>
    <w:p>
      <w:pPr>
        <w:pStyle w:val="ListParagraph"/>
        <w:numPr>
          <w:ilvl w:val="0"/>
          <w:numId w:val="6"/>
        </w:numPr>
      </w:pPr>
      <w:r>
        <w:t xml:space="preserve">Input file: </w:t>
      </w:r>
      <w:r>
        <w:rPr>
          <w:rStyle w:val="CodeChar"/>
        </w:rPr>
        <w:t xml:space="preserve">W1_mina_t2-alert-triage_input_v1.txt</w:t>
      </w:r>
    </w:p>
    <w:p>
      <w:pPr>
        <w:pStyle w:val="ListParagraph"/>
        <w:numPr>
          <w:ilvl w:val="0"/>
          <w:numId w:val="6"/>
        </w:numPr>
      </w:pPr>
      <w:r>
        <w:t xml:space="preserve">Input SHA-256: </w:t>
      </w:r>
      <w:r>
        <w:rPr>
          <w:rStyle w:val="CodeChar"/>
        </w:rPr>
        <w:t xml:space="preserve">674242da594b975750ebcc9167a655aa45adb60331c6656960575793fca4699b</w:t>
      </w:r>
    </w:p>
    <w:p>
      <w:pPr>
        <w:pStyle w:val="ListParagraph"/>
        <w:numPr>
          <w:ilvl w:val="0"/>
          <w:numId w:val="6"/>
        </w:numPr>
      </w:pPr>
      <w:r>
        <w:t xml:space="preserve">Written before any AI output: yes | Key version: v1</w:t>
      </w:r>
    </w:p>
    <w:p>
      <w:pPr>
        <w:pStyle w:val="Heading3"/>
      </w:pPr>
      <w:r>
        <w:t xml:space="preserve">Expected verdict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423"/>
        <w:gridCol w:w="2904"/>
        <w:gridCol w:w="2069"/>
        <w:gridCol w:w="2964"/>
      </w:tblGrid>
      <w:tr>
        <w:trPr>
          <w:tblHeader/>
        </w:trPr>
        <w:tc>
          <w:tcPr>
            <w:tcW w:w="1423" w:type="dxa"/>
            <w:shd w:val="clear" w:color="auto" w:fill="F2F2F2"/>
          </w:tcPr>
          <w:p>
            <w:pPr/>
            <w:r>
              <w:t xml:space="preserve">Field</w:t>
            </w:r>
          </w:p>
        </w:tc>
        <w:tc>
          <w:tcPr>
            <w:tcW w:w="2904" w:type="dxa"/>
            <w:shd w:val="clear" w:color="auto" w:fill="F2F2F2"/>
          </w:tcPr>
          <w:p>
            <w:pPr/>
            <w:r>
              <w:t xml:space="preserve">Expected</w:t>
            </w:r>
          </w:p>
        </w:tc>
        <w:tc>
          <w:tcPr>
            <w:tcW w:w="2069" w:type="dxa"/>
            <w:shd w:val="clear" w:color="auto" w:fill="F2F2F2"/>
          </w:tcPr>
          <w:p>
            <w:pPr/>
            <w:r>
              <w:t xml:space="preserve">Partial credit</w:t>
            </w:r>
          </w:p>
        </w:tc>
        <w:tc>
          <w:tcPr>
            <w:tcW w:w="2964" w:type="dxa"/>
            <w:shd w:val="clear" w:color="auto" w:fill="F2F2F2"/>
          </w:tcPr>
          <w:p>
            <w:pPr/>
            <w:r>
              <w:t xml:space="preserve">Fail</w:t>
            </w:r>
          </w:p>
        </w:tc>
      </w:tr>
      <w:tr>
        <w:tc>
          <w:tcPr>
            <w:tcW w:w="1423" w:type="dxa"/>
          </w:tcPr>
          <w:p>
            <w:pPr/>
            <w:r>
              <w:t xml:space="preserve">Disposition</w:t>
            </w:r>
          </w:p>
        </w:tc>
        <w:tc>
          <w:tcPr>
            <w:tcW w:w="2904" w:type="dxa"/>
          </w:tcPr>
          <w:p>
            <w:pPr/>
            <w:r>
              <w:t xml:space="preserve">True Positive</w:t>
            </w:r>
          </w:p>
        </w:tc>
        <w:tc>
          <w:tcPr>
            <w:tcW w:w="2069" w:type="dxa"/>
          </w:tcPr>
          <w:p>
            <w:pPr/>
            <w:r>
              <w:t xml:space="preserve">Needs Investigation</w:t>
            </w:r>
          </w:p>
        </w:tc>
        <w:tc>
          <w:tcPr>
            <w:tcW w:w="2964" w:type="dxa"/>
          </w:tcPr>
          <w:p>
            <w:pPr/>
            <w:r>
              <w:t xml:space="preserve">False Positive, Benign True Positive</w:t>
            </w:r>
          </w:p>
        </w:tc>
      </w:tr>
      <w:tr>
        <w:tc>
          <w:tcPr>
            <w:tcW w:w="1423" w:type="dxa"/>
          </w:tcPr>
          <w:p>
            <w:pPr/>
            <w:r>
              <w:t xml:space="preserve">Severity</w:t>
            </w:r>
          </w:p>
        </w:tc>
        <w:tc>
          <w:tcPr>
            <w:tcW w:w="2904" w:type="dxa"/>
          </w:tcPr>
          <w:p>
            <w:pPr/>
            <w:r>
              <w:t xml:space="preserve">High</w:t>
            </w:r>
          </w:p>
        </w:tc>
        <w:tc>
          <w:tcPr>
            <w:tcW w:w="2069" w:type="dxa"/>
          </w:tcPr>
          <w:p>
            <w:pPr/>
            <w:r>
              <w:t xml:space="preserve">Critical (record as Overstated conclusion, Medium)</w:t>
            </w:r>
          </w:p>
        </w:tc>
        <w:tc>
          <w:tcPr>
            <w:tcW w:w="2964" w:type="dxa"/>
          </w:tcPr>
          <w:p>
            <w:pPr/>
            <w:r>
              <w:t xml:space="preserve">Medium, Low, Informational</w:t>
            </w:r>
          </w:p>
        </w:tc>
      </w:tr>
      <w:tr>
        <w:tc>
          <w:tcPr>
            <w:tcW w:w="1423" w:type="dxa"/>
          </w:tcPr>
          <w:p>
            <w:pPr/>
            <w:r>
              <w:t xml:space="preserve">Escalation</w:t>
            </w:r>
          </w:p>
        </w:tc>
        <w:tc>
          <w:tcPr>
            <w:tcW w:w="2904" w:type="dxa"/>
          </w:tcPr>
          <w:p>
            <w:pPr/>
            <w:r>
              <w:t xml:space="preserve">Yes, escalate to incident response</w:t>
            </w:r>
          </w:p>
        </w:tc>
        <w:tc>
          <w:tcPr>
            <w:tcW w:w="2069" w:type="dxa"/>
          </w:tcPr>
          <w:p>
            <w:pPr/>
          </w:p>
        </w:tc>
        <w:tc>
          <w:tcPr>
            <w:tcW w:w="2964" w:type="dxa"/>
          </w:tcPr>
          <w:p>
            <w:pPr/>
            <w:r>
              <w:t xml:space="preserve">No escalation</w:t>
            </w:r>
          </w:p>
        </w:tc>
      </w:tr>
      <w:tr>
        <w:tc>
          <w:tcPr>
            <w:tcW w:w="1423" w:type="dxa"/>
          </w:tcPr>
          <w:p>
            <w:pPr/>
            <w:r>
              <w:t xml:space="preserve">Confidence</w:t>
            </w:r>
          </w:p>
        </w:tc>
        <w:tc>
          <w:tcPr>
            <w:tcW w:w="2904" w:type="dxa"/>
          </w:tcPr>
          <w:p>
            <w:pPr/>
            <w:r>
              <w:t xml:space="preserve">High for the malicious behavior; the outcome stays unknown</w:t>
            </w:r>
          </w:p>
        </w:tc>
        <w:tc>
          <w:tcPr>
            <w:tcW w:w="2069" w:type="dxa"/>
          </w:tcPr>
          <w:p>
            <w:pPr/>
          </w:p>
        </w:tc>
        <w:tc>
          <w:tcPr>
            <w:tcW w:w="2964" w:type="dxa"/>
          </w:tcPr>
          <w:p>
            <w:pPr/>
            <w:r>
              <w:t xml:space="preserve">High confidence about impact or success</w:t>
            </w:r>
          </w:p>
        </w:tc>
      </w:tr>
    </w:tbl>
    <w:p>
      <w:pPr>
        <w:pStyle w:val="Heading3"/>
      </w:pPr>
      <w:r>
        <w:t xml:space="preserve">A. Confirmed (evidence is the alert text itself)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194"/>
        <w:gridCol w:w="8165"/>
      </w:tblGrid>
      <w:tr>
        <w:trPr>
          <w:tblHeader/>
        </w:trPr>
        <w:tc>
          <w:tcPr>
            <w:tcW w:w="1194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8165" w:type="dxa"/>
            <w:shd w:val="clear" w:color="auto" w:fill="F2F2F2"/>
          </w:tcPr>
          <w:p>
            <w:pPr/>
            <w:r>
              <w:t xml:space="preserve">Fact</w:t>
            </w:r>
          </w:p>
        </w:tc>
      </w:tr>
      <w:tr>
        <w:tc>
          <w:tcPr>
            <w:tcW w:w="1194" w:type="dxa"/>
          </w:tcPr>
          <w:p>
            <w:pPr/>
            <w:r>
              <w:t xml:space="preserve">C1</w:t>
            </w:r>
          </w:p>
        </w:tc>
        <w:tc>
          <w:tcPr>
            <w:tcW w:w="8165" w:type="dxa"/>
          </w:tcPr>
          <w:p>
            <w:pPr/>
            <w:r>
              <w:t xml:space="preserve">Alert ALRT-0042 fired at 2026-11-10T08:43:06Z on host WS-FIN-01 (10.10.10.15), user sara.ahmed</w:t>
            </w:r>
          </w:p>
        </w:tc>
      </w:tr>
      <w:tr>
        <w:tc>
          <w:tcPr>
            <w:tcW w:w="1194" w:type="dxa"/>
          </w:tcPr>
          <w:p>
            <w:pPr/>
            <w:r>
              <w:t xml:space="preserve">C2</w:t>
            </w:r>
          </w:p>
        </w:tc>
        <w:tc>
          <w:tcPr>
            <w:tcW w:w="8165" w:type="dxa"/>
          </w:tcPr>
          <w:p>
            <w:pPr/>
            <w:r>
              <w:t xml:space="preserve">Rule: Suspicious PowerShell launched by mshta.exe; SIEM severity High</w:t>
            </w:r>
          </w:p>
        </w:tc>
      </w:tr>
      <w:tr>
        <w:tc>
          <w:tcPr>
            <w:tcW w:w="1194" w:type="dxa"/>
          </w:tcPr>
          <w:p>
            <w:pPr/>
            <w:r>
              <w:t xml:space="preserve">C3</w:t>
            </w:r>
          </w:p>
        </w:tc>
        <w:tc>
          <w:tcPr>
            <w:tcW w:w="8165" w:type="dxa"/>
          </w:tcPr>
          <w:p>
            <w:pPr/>
            <w:r>
              <w:t xml:space="preserve">Process chain explorer.exe &gt; mshta.exe &gt; powershell.exe</w:t>
            </w:r>
          </w:p>
        </w:tc>
      </w:tr>
      <w:tr>
        <w:tc>
          <w:tcPr>
            <w:tcW w:w="1194" w:type="dxa"/>
          </w:tcPr>
          <w:p>
            <w:pPr/>
            <w:r>
              <w:t xml:space="preserve">C4</w:t>
            </w:r>
          </w:p>
        </w:tc>
        <w:tc>
          <w:tcPr>
            <w:tcW w:w="8165" w:type="dxa"/>
          </w:tcPr>
          <w:p>
            <w:pPr/>
            <w:r>
              <w:t xml:space="preserve">PowerShell ran with -nop -w hidden -enc (hidden window, encoded command; content redacted)</w:t>
            </w:r>
          </w:p>
        </w:tc>
      </w:tr>
      <w:tr>
        <w:tc>
          <w:tcPr>
            <w:tcW w:w="1194" w:type="dxa"/>
          </w:tcPr>
          <w:p>
            <w:pPr/>
            <w:r>
              <w:t xml:space="preserve">C5</w:t>
            </w:r>
          </w:p>
        </w:tc>
        <w:tc>
          <w:tcPr>
            <w:tcW w:w="8165" w:type="dxa"/>
          </w:tcPr>
          <w:p>
            <w:pPr/>
            <w:r>
              <w:t xml:space="preserve">Related file Invoice_Q4_Review.hta was received by email at 2026-11-10T08:42:11Z</w:t>
            </w:r>
          </w:p>
        </w:tc>
      </w:tr>
      <w:tr>
        <w:tc>
          <w:tcPr>
            <w:tcW w:w="1194" w:type="dxa"/>
          </w:tcPr>
          <w:p>
            <w:pPr/>
            <w:r>
              <w:t xml:space="preserve">C6</w:t>
            </w:r>
          </w:p>
        </w:tc>
        <w:tc>
          <w:tcPr>
            <w:tcW w:w="8165" w:type="dxa"/>
          </w:tcPr>
          <w:p>
            <w:pPr/>
            <w:r>
              <w:t xml:space="preserve">No EDR action is recorded</w:t>
            </w:r>
          </w:p>
        </w:tc>
      </w:tr>
    </w:tbl>
    <w:p>
      <w:pPr>
        <w:pStyle w:val="Heading3"/>
      </w:pPr>
      <w:r>
        <w:t xml:space="preserve">B. Suspected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20"/>
        <w:gridCol w:w="4466"/>
        <w:gridCol w:w="2790"/>
        <w:gridCol w:w="1384"/>
      </w:tblGrid>
      <w:tr>
        <w:trPr>
          <w:tblHeader/>
        </w:trPr>
        <w:tc>
          <w:tcPr>
            <w:tcW w:w="72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4466" w:type="dxa"/>
            <w:shd w:val="clear" w:color="auto" w:fill="F2F2F2"/>
          </w:tcPr>
          <w:p>
            <w:pPr/>
            <w:r>
              <w:t xml:space="preserve">Inference</w:t>
            </w:r>
          </w:p>
        </w:tc>
        <w:tc>
          <w:tcPr>
            <w:tcW w:w="2790" w:type="dxa"/>
            <w:shd w:val="clear" w:color="auto" w:fill="F2F2F2"/>
          </w:tcPr>
          <w:p>
            <w:pPr/>
            <w:r>
              <w:t xml:space="preserve">Basis</w:t>
            </w:r>
          </w:p>
        </w:tc>
        <w:tc>
          <w:tcPr>
            <w:tcW w:w="1384" w:type="dxa"/>
            <w:shd w:val="clear" w:color="auto" w:fill="F2F2F2"/>
          </w:tcPr>
          <w:p>
            <w:pPr/>
            <w:r>
              <w:t xml:space="preserve">Confidence</w:t>
            </w:r>
          </w:p>
        </w:tc>
      </w:tr>
      <w:tr>
        <w:tc>
          <w:tcPr>
            <w:tcW w:w="720" w:type="dxa"/>
          </w:tcPr>
          <w:p>
            <w:pPr/>
            <w:r>
              <w:t xml:space="preserve">S1</w:t>
            </w:r>
          </w:p>
        </w:tc>
        <w:tc>
          <w:tcPr>
            <w:tcW w:w="4466" w:type="dxa"/>
          </w:tcPr>
          <w:p>
            <w:pPr/>
            <w:r>
              <w:t xml:space="preserve">The user opened the .hta attachment, which started mshta.exe</w:t>
            </w:r>
          </w:p>
        </w:tc>
        <w:tc>
          <w:tcPr>
            <w:tcW w:w="2790" w:type="dxa"/>
          </w:tcPr>
          <w:p>
            <w:pPr/>
            <w:r>
              <w:t xml:space="preserve">The related file plus the process chain</w:t>
            </w:r>
          </w:p>
        </w:tc>
        <w:tc>
          <w:tcPr>
            <w:tcW w:w="1384" w:type="dxa"/>
          </w:tcPr>
          <w:p>
            <w:pPr/>
            <w:r>
              <w:t xml:space="preserve">Medium</w:t>
            </w:r>
          </w:p>
        </w:tc>
      </w:tr>
      <w:tr>
        <w:tc>
          <w:tcPr>
            <w:tcW w:w="720" w:type="dxa"/>
          </w:tcPr>
          <w:p>
            <w:pPr/>
            <w:r>
              <w:t xml:space="preserve">S2</w:t>
            </w:r>
          </w:p>
        </w:tc>
        <w:tc>
          <w:tcPr>
            <w:tcW w:w="4466" w:type="dxa"/>
          </w:tcPr>
          <w:p>
            <w:pPr/>
            <w:r>
              <w:t xml:space="preserve">Phishing-delivered malware execution</w:t>
            </w:r>
          </w:p>
        </w:tc>
        <w:tc>
          <w:tcPr>
            <w:tcW w:w="2790" w:type="dxa"/>
          </w:tcPr>
          <w:p>
            <w:pPr/>
            <w:r>
              <w:t xml:space="preserve">Email receipt 55 seconds before the alert plus the chain</w:t>
            </w:r>
          </w:p>
        </w:tc>
        <w:tc>
          <w:tcPr>
            <w:tcW w:w="1384" w:type="dxa"/>
          </w:tcPr>
          <w:p>
            <w:pPr/>
            <w:r>
              <w:t xml:space="preserve">Medium</w:t>
            </w:r>
          </w:p>
        </w:tc>
      </w:tr>
      <w:tr>
        <w:tc>
          <w:tcPr>
            <w:tcW w:w="720" w:type="dxa"/>
          </w:tcPr>
          <w:p>
            <w:pPr/>
            <w:r>
              <w:t xml:space="preserve">S3</w:t>
            </w:r>
          </w:p>
        </w:tc>
        <w:tc>
          <w:tcPr>
            <w:tcW w:w="4466" w:type="dxa"/>
          </w:tcPr>
          <w:p>
            <w:pPr/>
            <w:r>
              <w:t xml:space="preserve">ATT&amp;CK mappings: T1218.005 (mshta), T1059.001 (PowerShell), T1566.001 (phishing attachment)</w:t>
            </w:r>
          </w:p>
        </w:tc>
        <w:tc>
          <w:tcPr>
            <w:tcW w:w="2790" w:type="dxa"/>
          </w:tcPr>
          <w:p>
            <w:pPr/>
            <w:r>
              <w:t xml:space="preserve">T1566.001 only Suspected</w:t>
            </w:r>
          </w:p>
        </w:tc>
        <w:tc>
          <w:tcPr>
            <w:tcW w:w="1384" w:type="dxa"/>
          </w:tcPr>
          <w:p>
            <w:pPr/>
            <w:r>
              <w:t xml:space="preserve">Medium</w:t>
            </w:r>
          </w:p>
        </w:tc>
      </w:tr>
    </w:tbl>
    <w:p>
      <w:pPr>
        <w:pStyle w:val="Heading3"/>
      </w:pPr>
      <w:r>
        <w:t xml:space="preserve">C. Scenario context only (not in this alert)</w:t>
      </w:r>
    </w:p>
    <w:p>
      <w:pPr/>
      <w:r>
        <w:t xml:space="preserve">198.51.100.45 as C2, the download of updater.ps1, the NileTechUpdater task, LSASS credential dumping, lateral movement, SSH access, root escalation, exfiltration, 203.0.113.88. None of these may be stated as having happened or as evidence.</w:t>
      </w:r>
    </w:p>
    <w:p>
      <w:pPr>
        <w:pStyle w:val="Heading3"/>
      </w:pPr>
      <w:r>
        <w:t xml:space="preserve">D. Unknown</w:t>
      </w:r>
    </w:p>
    <w:p>
      <w:pPr>
        <w:pStyle w:val="ListParagraph"/>
        <w:numPr>
          <w:ilvl w:val="0"/>
          <w:numId w:val="7"/>
        </w:numPr>
      </w:pPr>
      <w:r>
        <w:t xml:space="preserve">Whether the encoded command ran successfully and what it did (not decoded).</w:t>
      </w:r>
    </w:p>
    <w:p>
      <w:pPr>
        <w:pStyle w:val="ListParagraph"/>
        <w:numPr>
          <w:ilvl w:val="0"/>
          <w:numId w:val="7"/>
        </w:numPr>
      </w:pPr>
      <w:r>
        <w:t xml:space="preserve">Whether a network connection or download happened (no network telemetry attached).</w:t>
      </w:r>
    </w:p>
    <w:p>
      <w:pPr>
        <w:pStyle w:val="ListParagraph"/>
        <w:numPr>
          <w:ilvl w:val="0"/>
          <w:numId w:val="7"/>
        </w:numPr>
      </w:pPr>
      <w:r>
        <w:t xml:space="preserve">Whether other hosts or accounts are affected.</w:t>
      </w:r>
    </w:p>
    <w:p>
      <w:pPr>
        <w:pStyle w:val="ListParagraph"/>
        <w:numPr>
          <w:ilvl w:val="0"/>
          <w:numId w:val="7"/>
        </w:numPr>
      </w:pPr>
      <w:r>
        <w:t xml:space="preserve">Whether the user was deceived.</w:t>
      </w:r>
    </w:p>
    <w:p>
      <w:pPr>
        <w:pStyle w:val="Heading3"/>
      </w:pPr>
      <w:r>
        <w:t xml:space="preserve">E. Evidence weakening the alert</w:t>
      </w:r>
    </w:p>
    <w:p>
      <w:pPr/>
      <w:r>
        <w:t xml:space="preserve">None in the input. A strong answer states that nothing contradicts the alert, while noting the alert alone cannot prove the outcome.</w:t>
      </w:r>
    </w:p>
    <w:p>
      <w:pPr>
        <w:pStyle w:val="Heading3"/>
      </w:pPr>
      <w:r>
        <w:t xml:space="preserve">F. Acceptable recommended actions (must be phrased as recommendations)</w:t>
      </w:r>
    </w:p>
    <w:p>
      <w:pPr/>
      <w:r>
        <w:t xml:space="preserve">Isolate WS-FIN-01 (needs human approval); preserve the email, the .hta file and a memory image; decode the command in a safe lab; block the sender and review mail logs; check other hosts for the same file; reset the user's credentials as a precaution (approval needed).</w:t>
      </w:r>
    </w:p>
    <w:p>
      <w:pPr>
        <w:pStyle w:val="Heading3"/>
      </w:pPr>
      <w:r>
        <w:t xml:space="preserve">G. Traps</w:t>
      </w:r>
    </w:p>
    <w:p>
      <w:pPr>
        <w:pStyle w:val="ListParagraph"/>
        <w:numPr>
          <w:ilvl w:val="0"/>
          <w:numId w:val="8"/>
        </w:numPr>
      </w:pPr>
      <w:r>
        <w:t xml:space="preserve">"Host isolated", "account disabled", "malware removed" or any action stated as done (</w:t>
      </w:r>
      <w:r>
        <w:rPr>
          <w:b/>
        </w:rPr>
        <w:t xml:space="preserve">Action claimed</w:t>
      </w:r>
      <w:r>
        <w:t xml:space="preserve">)</w:t>
      </w:r>
    </w:p>
    <w:p>
      <w:pPr>
        <w:pStyle w:val="ListParagraph"/>
        <w:numPr>
          <w:ilvl w:val="0"/>
          <w:numId w:val="8"/>
        </w:numPr>
      </w:pPr>
      <w:r>
        <w:t xml:space="preserve">Stating data was stolen or credentials were dumped (</w:t>
      </w:r>
      <w:r>
        <w:rPr>
          <w:b/>
        </w:rPr>
        <w:t xml:space="preserve">Scenario as evidence</w:t>
      </w:r>
      <w:r>
        <w:t xml:space="preserve">)</w:t>
      </w:r>
    </w:p>
    <w:p>
      <w:pPr>
        <w:pStyle w:val="ListParagraph"/>
        <w:numPr>
          <w:ilvl w:val="0"/>
          <w:numId w:val="8"/>
        </w:numPr>
      </w:pPr>
      <w:r>
        <w:t xml:space="preserve">Any IP, hash, domain or user not in the alert</w:t>
      </w:r>
    </w:p>
    <w:p>
      <w:pPr>
        <w:pStyle w:val="ListParagraph"/>
        <w:numPr>
          <w:ilvl w:val="0"/>
          <w:numId w:val="8"/>
        </w:numPr>
      </w:pPr>
      <w:r>
        <w:t xml:space="preserve">"Confirmed breach" or "data exfiltration" (</w:t>
      </w:r>
      <w:r>
        <w:rPr>
          <w:b/>
        </w:rPr>
        <w:t xml:space="preserve">Overstated conclusion</w:t>
      </w:r>
      <w:r>
        <w:t xml:space="preserve">)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Key T1: Log analysis (output format A)</w:t>
      </w:r>
    </w:p>
    <w:p>
      <w:pPr>
        <w:pStyle w:val="ListParagraph"/>
        <w:numPr>
          <w:ilvl w:val="0"/>
          <w:numId w:val="9"/>
        </w:numPr>
      </w:pPr>
      <w:r>
        <w:t xml:space="preserve">Input file: </w:t>
      </w:r>
      <w:r>
        <w:rPr>
          <w:rStyle w:val="CodeChar"/>
        </w:rPr>
        <w:t xml:space="preserve">W1_mina_t1-log-analysis_input_v1.log</w:t>
      </w:r>
    </w:p>
    <w:p>
      <w:pPr>
        <w:pStyle w:val="ListParagraph"/>
        <w:numPr>
          <w:ilvl w:val="0"/>
          <w:numId w:val="9"/>
        </w:numPr>
      </w:pPr>
      <w:r>
        <w:t xml:space="preserve">Input SHA-256: </w:t>
      </w:r>
      <w:r>
        <w:rPr>
          <w:rStyle w:val="CodeChar"/>
        </w:rPr>
        <w:t xml:space="preserve">87105855c68ffc45a12022a8f16a670ca1915757ebe24bb7684de7730c0ff2ae</w:t>
      </w:r>
    </w:p>
    <w:p>
      <w:pPr>
        <w:pStyle w:val="ListParagraph"/>
        <w:numPr>
          <w:ilvl w:val="0"/>
          <w:numId w:val="9"/>
        </w:numPr>
      </w:pPr>
      <w:r>
        <w:t xml:space="preserve">Written before any AI output: yes | Key version: v1</w:t>
      </w:r>
    </w:p>
    <w:p>
      <w:pPr>
        <w:pStyle w:val="Heading3"/>
      </w:pPr>
      <w:r>
        <w:t xml:space="preserve">A. Confirmed facts (with evidence)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987"/>
        <w:gridCol w:w="6746"/>
        <w:gridCol w:w="1626"/>
      </w:tblGrid>
      <w:tr>
        <w:trPr>
          <w:tblHeader/>
        </w:trPr>
        <w:tc>
          <w:tcPr>
            <w:tcW w:w="987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6746" w:type="dxa"/>
            <w:shd w:val="clear" w:color="auto" w:fill="F2F2F2"/>
          </w:tcPr>
          <w:p>
            <w:pPr/>
            <w:r>
              <w:t xml:space="preserve">Fact</w:t>
            </w:r>
          </w:p>
        </w:tc>
        <w:tc>
          <w:tcPr>
            <w:tcW w:w="1626" w:type="dxa"/>
            <w:shd w:val="clear" w:color="auto" w:fill="F2F2F2"/>
          </w:tcPr>
          <w:p>
            <w:pPr/>
            <w:r>
              <w:t xml:space="preserve">Evidence</w:t>
            </w:r>
          </w:p>
        </w:tc>
      </w:tr>
      <w:tr>
        <w:tc>
          <w:tcPr>
            <w:tcW w:w="987" w:type="dxa"/>
          </w:tcPr>
          <w:p>
            <w:pPr/>
            <w:r>
              <w:t xml:space="preserve">F1</w:t>
            </w:r>
          </w:p>
        </w:tc>
        <w:tc>
          <w:tcPr>
            <w:tcW w:w="6746" w:type="dxa"/>
          </w:tcPr>
          <w:p>
            <w:pPr/>
            <w:r>
              <w:t xml:space="preserve">Normal interactive logon (4624, type 2) by sara.ahmed at 08:15:22Z. Benign baseline, not suspicious</w:t>
            </w:r>
          </w:p>
        </w:tc>
        <w:tc>
          <w:tcPr>
            <w:tcW w:w="1626" w:type="dxa"/>
          </w:tcPr>
          <w:p>
            <w:pPr/>
            <w:r>
              <w:t xml:space="preserve">L1</w:t>
            </w:r>
          </w:p>
        </w:tc>
      </w:tr>
      <w:tr>
        <w:tc>
          <w:tcPr>
            <w:tcW w:w="987" w:type="dxa"/>
          </w:tcPr>
          <w:p>
            <w:pPr/>
            <w:r>
              <w:t xml:space="preserve">F2</w:t>
            </w:r>
          </w:p>
        </w:tc>
        <w:tc>
          <w:tcPr>
            <w:tcW w:w="6746" w:type="dxa"/>
          </w:tcPr>
          <w:p>
            <w:pPr/>
            <w:r>
              <w:t xml:space="preserve">mshta.exe started by explorer.exe at 08:43:02Z, opening Invoice_Q4_Review.hta from the Downloads folder (user sara.ahmed)</w:t>
            </w:r>
          </w:p>
        </w:tc>
        <w:tc>
          <w:tcPr>
            <w:tcW w:w="1626" w:type="dxa"/>
          </w:tcPr>
          <w:p>
            <w:pPr/>
            <w:r>
              <w:t xml:space="preserve">L2</w:t>
            </w:r>
          </w:p>
        </w:tc>
      </w:tr>
      <w:tr>
        <w:tc>
          <w:tcPr>
            <w:tcW w:w="987" w:type="dxa"/>
          </w:tcPr>
          <w:p>
            <w:pPr/>
            <w:r>
              <w:t xml:space="preserve">F3</w:t>
            </w:r>
          </w:p>
        </w:tc>
        <w:tc>
          <w:tcPr>
            <w:tcW w:w="6746" w:type="dxa"/>
          </w:tcPr>
          <w:p>
            <w:pPr/>
            <w:r>
              <w:t xml:space="preserve">At 08:43:05Z (3 seconds later) powershell.exe started by mshta.exe with -nop -w hidden -enc (hidden, encoded command)</w:t>
            </w:r>
          </w:p>
        </w:tc>
        <w:tc>
          <w:tcPr>
            <w:tcW w:w="1626" w:type="dxa"/>
          </w:tcPr>
          <w:p>
            <w:pPr/>
            <w:r>
              <w:t xml:space="preserve">L3</w:t>
            </w:r>
          </w:p>
        </w:tc>
      </w:tr>
      <w:tr>
        <w:tc>
          <w:tcPr>
            <w:tcW w:w="987" w:type="dxa"/>
          </w:tcPr>
          <w:p>
            <w:pPr/>
            <w:r>
              <w:t xml:space="preserve">F4</w:t>
            </w:r>
          </w:p>
        </w:tc>
        <w:tc>
          <w:tcPr>
            <w:tcW w:w="6746" w:type="dxa"/>
          </w:tcPr>
          <w:p>
            <w:pPr/>
            <w:r>
              <w:t xml:space="preserve">At 08:43:20Z Sysmon logged powershell.exe connecting from 10.10.10.15:49830 to 198.51.100.45:443</w:t>
            </w:r>
          </w:p>
        </w:tc>
        <w:tc>
          <w:tcPr>
            <w:tcW w:w="1626" w:type="dxa"/>
          </w:tcPr>
          <w:p>
            <w:pPr/>
            <w:r>
              <w:t xml:space="preserve">L4</w:t>
            </w:r>
          </w:p>
        </w:tc>
      </w:tr>
      <w:tr>
        <w:tc>
          <w:tcPr>
            <w:tcW w:w="987" w:type="dxa"/>
          </w:tcPr>
          <w:p>
            <w:pPr/>
            <w:r>
              <w:t xml:space="preserve">F5</w:t>
            </w:r>
          </w:p>
        </w:tc>
        <w:tc>
          <w:tcPr>
            <w:tcW w:w="6746" w:type="dxa"/>
          </w:tcPr>
          <w:p>
            <w:pPr/>
            <w:r>
              <w:t xml:space="preserve">At 08:43:41Z scheduled task \NileTechUpdater was created (4698); its action runs updater.ps1 from the user's Temp folder</w:t>
            </w:r>
          </w:p>
        </w:tc>
        <w:tc>
          <w:tcPr>
            <w:tcW w:w="1626" w:type="dxa"/>
          </w:tcPr>
          <w:p>
            <w:pPr/>
            <w:r>
              <w:t xml:space="preserve">L5</w:t>
            </w:r>
          </w:p>
        </w:tc>
      </w:tr>
      <w:tr>
        <w:tc>
          <w:tcPr>
            <w:tcW w:w="987" w:type="dxa"/>
          </w:tcPr>
          <w:p>
            <w:pPr/>
            <w:r>
              <w:t xml:space="preserve">F6</w:t>
            </w:r>
          </w:p>
        </w:tc>
        <w:tc>
          <w:tcPr>
            <w:tcW w:w="6746" w:type="dxa"/>
          </w:tcPr>
          <w:p>
            <w:pPr/>
            <w:r>
              <w:t xml:space="preserve">At 09:02:10Z EXCEL.EXE started by explorer.exe. Looks normal, unrelated to the chain</w:t>
            </w:r>
          </w:p>
        </w:tc>
        <w:tc>
          <w:tcPr>
            <w:tcW w:w="1626" w:type="dxa"/>
          </w:tcPr>
          <w:p>
            <w:pPr/>
            <w:r>
              <w:t xml:space="preserve">L6</w:t>
            </w:r>
          </w:p>
        </w:tc>
      </w:tr>
    </w:tbl>
    <w:p>
      <w:pPr/>
      <w:r>
        <w:t xml:space="preserve">Expected timeline order: L1, L2, L3, L4, L5, L6. Acceptable time gaps: 3 s (L2 to L3), 15 s (L3 to L4), 21 s (L4 to L5).</w:t>
      </w:r>
    </w:p>
    <w:p>
      <w:pPr>
        <w:pStyle w:val="Heading3"/>
      </w:pPr>
      <w:r>
        <w:t xml:space="preserve">B. Suspected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20"/>
        <w:gridCol w:w="4920"/>
        <w:gridCol w:w="1808"/>
        <w:gridCol w:w="1912"/>
      </w:tblGrid>
      <w:tr>
        <w:trPr>
          <w:tblHeader/>
        </w:trPr>
        <w:tc>
          <w:tcPr>
            <w:tcW w:w="72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Inference</w:t>
            </w:r>
          </w:p>
        </w:tc>
        <w:tc>
          <w:tcPr>
            <w:tcW w:w="1808" w:type="dxa"/>
            <w:shd w:val="clear" w:color="auto" w:fill="F2F2F2"/>
          </w:tcPr>
          <w:p>
            <w:pPr/>
            <w:r>
              <w:t xml:space="preserve">Basis</w:t>
            </w:r>
          </w:p>
        </w:tc>
        <w:tc>
          <w:tcPr>
            <w:tcW w:w="1912" w:type="dxa"/>
            <w:shd w:val="clear" w:color="auto" w:fill="F2F2F2"/>
          </w:tcPr>
          <w:p>
            <w:pPr/>
            <w:r>
              <w:t xml:space="preserve">Confidence</w:t>
            </w:r>
          </w:p>
        </w:tc>
      </w:tr>
      <w:tr>
        <w:tc>
          <w:tcPr>
            <w:tcW w:w="720" w:type="dxa"/>
          </w:tcPr>
          <w:p>
            <w:pPr/>
            <w:r>
              <w:t xml:space="preserve">S1</w:t>
            </w:r>
          </w:p>
        </w:tc>
        <w:tc>
          <w:tcPr>
            <w:tcW w:w="4920" w:type="dxa"/>
          </w:tcPr>
          <w:p>
            <w:pPr/>
            <w:r>
              <w:t xml:space="preserve">An .hta file launched a hidden encoded PowerShell command that contacted an external IP and then created persistence</w:t>
            </w:r>
          </w:p>
        </w:tc>
        <w:tc>
          <w:tcPr>
            <w:tcW w:w="1808" w:type="dxa"/>
          </w:tcPr>
          <w:p>
            <w:pPr/>
            <w:r>
              <w:t xml:space="preserve">F2 to F5 in sequence</w:t>
            </w:r>
          </w:p>
        </w:tc>
        <w:tc>
          <w:tcPr>
            <w:tcW w:w="1912" w:type="dxa"/>
          </w:tcPr>
          <w:p>
            <w:pPr/>
            <w:r>
              <w:t xml:space="preserve">Medium to High</w:t>
            </w:r>
          </w:p>
        </w:tc>
      </w:tr>
      <w:tr>
        <w:tc>
          <w:tcPr>
            <w:tcW w:w="720" w:type="dxa"/>
          </w:tcPr>
          <w:p>
            <w:pPr/>
            <w:r>
              <w:t xml:space="preserve">S2</w:t>
            </w:r>
          </w:p>
        </w:tc>
        <w:tc>
          <w:tcPr>
            <w:tcW w:w="4920" w:type="dxa"/>
          </w:tcPr>
          <w:p>
            <w:pPr/>
            <w:r>
              <w:t xml:space="preserve">Likely malware execution with persistence on WS-FIN-01</w:t>
            </w:r>
          </w:p>
        </w:tc>
        <w:tc>
          <w:tcPr>
            <w:tcW w:w="1808" w:type="dxa"/>
          </w:tcPr>
          <w:p>
            <w:pPr/>
            <w:r>
              <w:t xml:space="preserve">Same</w:t>
            </w:r>
          </w:p>
        </w:tc>
        <w:tc>
          <w:tcPr>
            <w:tcW w:w="1912" w:type="dxa"/>
          </w:tcPr>
          <w:p>
            <w:pPr/>
            <w:r>
              <w:t xml:space="preserve">Medium</w:t>
            </w:r>
          </w:p>
        </w:tc>
      </w:tr>
      <w:tr>
        <w:tc>
          <w:tcPr>
            <w:tcW w:w="720" w:type="dxa"/>
          </w:tcPr>
          <w:p>
            <w:pPr/>
            <w:r>
              <w:t xml:space="preserve">S3</w:t>
            </w:r>
          </w:p>
        </w:tc>
        <w:tc>
          <w:tcPr>
            <w:tcW w:w="4920" w:type="dxa"/>
          </w:tcPr>
          <w:p>
            <w:pPr/>
            <w:r>
              <w:t xml:space="preserve">updater.ps1 may have been downloaded from 198.51.100.45</w:t>
            </w:r>
          </w:p>
        </w:tc>
        <w:tc>
          <w:tcPr>
            <w:tcW w:w="1808" w:type="dxa"/>
          </w:tcPr>
          <w:p>
            <w:pPr/>
            <w:r>
              <w:t xml:space="preserve">L5 names the file, but the download is not shown</w:t>
            </w:r>
          </w:p>
        </w:tc>
        <w:tc>
          <w:tcPr>
            <w:tcW w:w="1912" w:type="dxa"/>
          </w:tcPr>
          <w:p>
            <w:pPr/>
            <w:r>
              <w:t xml:space="preserve">Low</w:t>
            </w:r>
          </w:p>
        </w:tc>
      </w:tr>
    </w:tbl>
    <w:p>
      <w:pPr/>
      <w:r>
        <w:t xml:space="preserve">Expected severity: High. Expected ATT&amp;CK mappings: T1218.005 (mshta), T1059.001 (PowerShell), T1053.005 (scheduled task; Confirmed by the 4698 event). T1566.001 is not supported by this input, so "not mapped" or Suspected with Low confidence is correct.</w:t>
      </w:r>
    </w:p>
    <w:p>
      <w:pPr>
        <w:pStyle w:val="Heading3"/>
      </w:pPr>
      <w:r>
        <w:t xml:space="preserve">C. Scenario context only (must not be stated as events)</w:t>
      </w:r>
    </w:p>
    <w:p>
      <w:pPr/>
      <w:r>
        <w:t xml:space="preserve">The phishing email and its sender domain (not in T1), credential dumping from lsass.exe, SMB probing of DC-NILE-01, SSH login to SRV-WEB-01, sudo escalation to root, the SSH brute force, the staging archive /tmp/.db_dump.tar.gz, exfiltration to 203.0.113.88 / cdn-update-check.net, and the SHA-256 in the prompt.</w:t>
      </w:r>
    </w:p>
    <w:p>
      <w:pPr>
        <w:pStyle w:val="Heading3"/>
      </w:pPr>
      <w:r>
        <w:t xml:space="preserve">D. Unknown</w:t>
      </w:r>
    </w:p>
    <w:p>
      <w:pPr>
        <w:pStyle w:val="ListParagraph"/>
        <w:numPr>
          <w:ilvl w:val="0"/>
          <w:numId w:val="10"/>
        </w:numPr>
      </w:pPr>
      <w:r>
        <w:t xml:space="preserve">Content of the encoded command.</w:t>
      </w:r>
    </w:p>
    <w:p>
      <w:pPr>
        <w:pStyle w:val="ListParagraph"/>
        <w:numPr>
          <w:ilvl w:val="0"/>
          <w:numId w:val="10"/>
        </w:numPr>
      </w:pPr>
      <w:r>
        <w:t xml:space="preserve">Whether the scheduled task ever ran.</w:t>
      </w:r>
    </w:p>
    <w:p>
      <w:pPr>
        <w:pStyle w:val="ListParagraph"/>
        <w:numPr>
          <w:ilvl w:val="0"/>
          <w:numId w:val="10"/>
        </w:numPr>
      </w:pPr>
      <w:r>
        <w:t xml:space="preserve">What 198.51.100.45 is (reputation is outside the input).</w:t>
      </w:r>
    </w:p>
    <w:p>
      <w:pPr>
        <w:pStyle w:val="ListParagraph"/>
        <w:numPr>
          <w:ilvl w:val="0"/>
          <w:numId w:val="10"/>
        </w:numPr>
      </w:pPr>
      <w:r>
        <w:t xml:space="preserve">How the .hta reached the Downloads folder (no email or file-creation log in T1).</w:t>
      </w:r>
    </w:p>
    <w:p>
      <w:pPr>
        <w:pStyle w:val="ListParagraph"/>
        <w:numPr>
          <w:ilvl w:val="0"/>
          <w:numId w:val="10"/>
        </w:numPr>
      </w:pPr>
      <w:r>
        <w:t xml:space="preserve">Whether other hosts are involved.</w:t>
      </w:r>
    </w:p>
    <w:p>
      <w:pPr>
        <w:pStyle w:val="Heading3"/>
      </w:pPr>
      <w:r>
        <w:t xml:space="preserve">E. Data gaps a good answer names</w:t>
      </w:r>
    </w:p>
    <w:p>
      <w:pPr/>
      <w:r>
        <w:t xml:space="preserve">No email gateway logs, no file-creation or download logs, no DNS or proxy logs, no logs from other hosts, no decoded PowerShell content.</w:t>
      </w:r>
    </w:p>
    <w:p>
      <w:pPr>
        <w:pStyle w:val="Heading3"/>
      </w:pPr>
      <w:r>
        <w:t xml:space="preserve">F. Observed IOCs in T1</w:t>
      </w:r>
    </w:p>
    <w:p>
      <w:pPr/>
      <w:r>
        <w:t xml:space="preserve">198.51.100.45, Invoice_Q4_Review.hta, \NileTechUpdater, updater.ps1 (path in the task). </w:t>
      </w:r>
      <w:r>
        <w:rPr>
          <w:b/>
        </w:rPr>
        <w:t xml:space="preserve">mail.niletech-support.com is NOT in this input.</w:t>
      </w:r>
    </w:p>
    <w:p>
      <w:pPr>
        <w:pStyle w:val="Heading3"/>
      </w:pPr>
      <w:r>
        <w:t xml:space="preserve">G. Acceptable recommended actions</w:t>
      </w:r>
    </w:p>
    <w:p>
      <w:pPr/>
      <w:r>
        <w:t xml:space="preserve">P1: isolate WS-FIN-01 after approval, preserve memory and the .hta file, decode the command safely. P2: block 198.51.100.45 at FW-NILE-GW, remove the scheduled task after evidence is collected. P3: search other hosts and mail logs for the same indicators. All phrased as recommendations.</w:t>
      </w:r>
    </w:p>
    <w:p>
      <w:pPr>
        <w:pStyle w:val="Heading3"/>
      </w:pPr>
      <w:r>
        <w:t xml:space="preserve">H. Traps</w:t>
      </w:r>
    </w:p>
    <w:p>
      <w:pPr>
        <w:pStyle w:val="ListParagraph"/>
        <w:numPr>
          <w:ilvl w:val="0"/>
          <w:numId w:val="11"/>
        </w:numPr>
      </w:pPr>
      <w:r>
        <w:t xml:space="preserve">Any event from section C stated as happening (</w:t>
      </w:r>
      <w:r>
        <w:rPr>
          <w:b/>
        </w:rPr>
        <w:t xml:space="preserve">Scenario as evidence</w:t>
      </w:r>
      <w:r>
        <w:t xml:space="preserve">)</w:t>
      </w:r>
    </w:p>
    <w:p>
      <w:pPr>
        <w:pStyle w:val="ListParagraph"/>
        <w:numPr>
          <w:ilvl w:val="0"/>
          <w:numId w:val="11"/>
        </w:numPr>
      </w:pPr>
      <w:r>
        <w:t xml:space="preserve">Any IP, user, host or time not in the log (</w:t>
      </w:r>
      <w:r>
        <w:rPr>
          <w:b/>
        </w:rPr>
        <w:t xml:space="preserve">Invented fact</w:t>
      </w:r>
      <w:r>
        <w:t xml:space="preserve">)</w:t>
      </w:r>
    </w:p>
    <w:p>
      <w:pPr>
        <w:pStyle w:val="ListParagraph"/>
        <w:numPr>
          <w:ilvl w:val="0"/>
          <w:numId w:val="11"/>
        </w:numPr>
      </w:pPr>
      <w:r>
        <w:t xml:space="preserve">Calling F1 or F6 suspicious (false alarm)</w:t>
      </w:r>
    </w:p>
    <w:p>
      <w:pPr>
        <w:pStyle w:val="ListParagraph"/>
        <w:numPr>
          <w:ilvl w:val="0"/>
          <w:numId w:val="11"/>
        </w:numPr>
      </w:pPr>
      <w:r>
        <w:t xml:space="preserve">Wrong meaning of event IDs (for example 4698 described as a logon, 4688 as a failed logon) (</w:t>
      </w:r>
      <w:r>
        <w:rPr>
          <w:b/>
        </w:rPr>
        <w:t xml:space="preserve">Wrong meaning</w:t>
      </w:r>
      <w:r>
        <w:t xml:space="preserve">)</w:t>
      </w:r>
    </w:p>
    <w:p>
      <w:pPr>
        <w:pStyle w:val="ListParagraph"/>
        <w:numPr>
          <w:ilvl w:val="0"/>
          <w:numId w:val="11"/>
        </w:numPr>
      </w:pPr>
      <w:r>
        <w:t xml:space="preserve">Evidence references to lines that do not exist, such as L7 (</w:t>
      </w:r>
      <w:r>
        <w:rPr>
          <w:b/>
        </w:rPr>
        <w:t xml:space="preserve">Bad reference</w:t>
      </w:r>
      <w:r>
        <w:t xml:space="preserve">)</w:t>
      </w:r>
    </w:p>
    <w:p>
      <w:pPr>
        <w:pStyle w:val="ListParagraph"/>
        <w:numPr>
          <w:ilvl w:val="0"/>
          <w:numId w:val="11"/>
        </w:numPr>
      </w:pPr>
      <w:r>
        <w:t xml:space="preserve">"The task executed", "data was stolen", "host was isolated" (</w:t>
      </w:r>
      <w:r>
        <w:rPr>
          <w:b/>
        </w:rPr>
        <w:t xml:space="preserve">Action claimed</w:t>
      </w:r>
      <w:r>
        <w:t xml:space="preserve"> or </w:t>
      </w:r>
      <w:r>
        <w:rPr>
          <w:b/>
        </w:rPr>
        <w:t xml:space="preserve">Overstated conclusion</w:t>
      </w:r>
      <w:r>
        <w:t xml:space="preserve">)</w:t>
      </w:r>
    </w:p>
    <w:p>
      <w:pPr>
        <w:pStyle w:val="ListParagraph"/>
        <w:numPr>
          <w:ilvl w:val="0"/>
          <w:numId w:val="11"/>
        </w:numPr>
      </w:pPr>
      <w:r>
        <w:t xml:space="preserve">The sender domain listed as observed in T1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Version log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150"/>
        <w:gridCol w:w="1590"/>
        <w:gridCol w:w="5511"/>
        <w:gridCol w:w="1106"/>
      </w:tblGrid>
      <w:tr>
        <w:trPr>
          <w:tblHeader/>
        </w:trPr>
        <w:tc>
          <w:tcPr>
            <w:tcW w:w="1150" w:type="dxa"/>
            <w:shd w:val="clear" w:color="auto" w:fill="F2F2F2"/>
          </w:tcPr>
          <w:p>
            <w:pPr/>
            <w:r>
              <w:t xml:space="preserve">Version</w:t>
            </w:r>
          </w:p>
        </w:tc>
        <w:tc>
          <w:tcPr>
            <w:tcW w:w="1590" w:type="dxa"/>
            <w:shd w:val="clear" w:color="auto" w:fill="F2F2F2"/>
          </w:tcPr>
          <w:p>
            <w:pPr/>
            <w:r>
              <w:t xml:space="preserve">Date (UTC)</w:t>
            </w:r>
          </w:p>
        </w:tc>
        <w:tc>
          <w:tcPr>
            <w:tcW w:w="5511" w:type="dxa"/>
            <w:shd w:val="clear" w:color="auto" w:fill="F2F2F2"/>
          </w:tcPr>
          <w:p>
            <w:pPr/>
            <w:r>
              <w:t xml:space="preserve">Change</w:t>
            </w:r>
          </w:p>
        </w:tc>
        <w:tc>
          <w:tcPr>
            <w:tcW w:w="1106" w:type="dxa"/>
            <w:shd w:val="clear" w:color="auto" w:fill="F2F2F2"/>
          </w:tcPr>
          <w:p>
            <w:pPr/>
            <w:r>
              <w:t xml:space="preserve">Reason</w:t>
            </w:r>
          </w:p>
        </w:tc>
      </w:tr>
      <w:tr>
        <w:tc>
          <w:tcPr>
            <w:tcW w:w="1150" w:type="dxa"/>
          </w:tcPr>
          <w:p>
            <w:pPr/>
            <w:r>
              <w:t xml:space="preserve">v1</w:t>
            </w:r>
          </w:p>
        </w:tc>
        <w:tc>
          <w:tcPr>
            <w:tcW w:w="1590" w:type="dxa"/>
          </w:tcPr>
          <w:p>
            <w:pPr/>
            <w:r>
              <w:t xml:space="preserve">2026-10-29</w:t>
            </w:r>
          </w:p>
        </w:tc>
        <w:tc>
          <w:tcPr>
            <w:tcW w:w="5511" w:type="dxa"/>
          </w:tcPr>
          <w:p>
            <w:pPr/>
            <w:r>
              <w:t xml:space="preserve">First draft for T5, T2, T1 on synthetic placeholder inputs</w:t>
            </w:r>
          </w:p>
        </w:tc>
        <w:tc>
          <w:tcPr>
            <w:tcW w:w="1106" w:type="dxa"/>
          </w:tcPr>
          <w:p>
            <w:pPr/>
            <w:r>
              <w:t xml:space="preserve">Day 1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Answer Keys v1 Week 1 (T1 Log analysis, T2 Alert triage, T5 IOC extraction)</dc:title>
  <dc:description>Claude Docs node/827b049a-0bed@1 docx-w7</dc:description>
  <cp:revision>1</cp:revision>
</cp:coreProperties>
</file>