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Stardust Garage — Standard Operating Procedure</w:t>
      </w:r>
    </w:p>
    <w:p>
      <w:r>
        <w:t>Opening checklist and espresso machine calibration.</w:t>
      </w:r>
    </w:p>
    <w:p>
      <w:r>
        <w:t>Distinctive body keyword: GRIDLOCK-DOCX (title does not contain this).</w:t>
      </w:r>
    </w:p>
  </w:body>
</w:document>
</file>