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B48AE" w14:textId="77777777" w:rsid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DC40B3" w14:textId="77777777" w:rsid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ED65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7EA26" w14:textId="77777777" w:rsid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18A585" w14:textId="77777777" w:rsidR="00AE5097" w:rsidRPr="00AE5097" w:rsidRDefault="00AE5097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C2E941" w14:textId="7A7F2E04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New York University Abu Dhabi</w:t>
      </w:r>
    </w:p>
    <w:p w14:paraId="2E8707FB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F9888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3D227B" w14:textId="0B53ED1B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Decoding Electrical Muscle Stimula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ion Intensity from Electroencephalography Signals</w:t>
      </w:r>
    </w:p>
    <w:p w14:paraId="6085D571" w14:textId="4C5919BC" w:rsidR="00AE5097" w:rsidRPr="00AE5097" w:rsidRDefault="00000000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 Machine</w:t>
      </w:r>
      <w:r w:rsidR="00AE5097"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Learning Pipeline for a Closed-Loop Neurofeedback System</w:t>
      </w:r>
    </w:p>
    <w:p w14:paraId="000651F2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F85BFB" w14:textId="78671445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Researcher: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Adam Kablawi</w:t>
      </w:r>
    </w:p>
    <w:p w14:paraId="07B81F42" w14:textId="21E51E9A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Principal Investigator: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Dr. Mohamad Eid</w:t>
      </w:r>
    </w:p>
    <w:p w14:paraId="248FDCC7" w14:textId="5964B07D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July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xth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2026</w:t>
      </w:r>
    </w:p>
    <w:p w14:paraId="58559D41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F24767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3B1155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5493A0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53EA90" w14:textId="77777777" w:rsidR="00AE5097" w:rsidRPr="00AE5097" w:rsidRDefault="00AE5097" w:rsidP="00AE509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6BB122" w14:textId="12D1868A" w:rsidR="00AE5097" w:rsidRPr="00AE5097" w:rsidRDefault="00000000" w:rsidP="003361A2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 Introduction and Problem</w:t>
      </w:r>
    </w:p>
    <w:p w14:paraId="541C59AC" w14:textId="16856BFE" w:rsidR="00AF7196" w:rsidRDefault="00AE5097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electrical muscle stimulation closed loop systems, calibration remains a difficulty for technologies across applications such as neurorehabilitation, physical therapy, and VR/XR. This demanded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of a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 offline machine-learning pipeline that decodes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perceived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intensity of an electrical muscle stimulation (EMS) pulse from a subject's EEG brain response. </w:t>
      </w:r>
      <w:r w:rsidR="00DF0B7C">
        <w:rPr>
          <w:rFonts w:ascii="Times New Roman" w:hAnsi="Times New Roman" w:cs="Times New Roman"/>
          <w:color w:val="000000" w:themeColor="text1"/>
          <w:sz w:val="24"/>
          <w:szCs w:val="24"/>
        </w:rPr>
        <w:t>In the system, o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each </w:t>
      </w:r>
      <w:r w:rsidR="006A7E1C">
        <w:rPr>
          <w:rFonts w:ascii="Times New Roman" w:hAnsi="Times New Roman" w:cs="Times New Roman"/>
          <w:color w:val="000000" w:themeColor="text1"/>
          <w:sz w:val="24"/>
          <w:szCs w:val="24"/>
        </w:rPr>
        <w:t>particular time interval,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EMS device delivers a pulse at one of several pre-set intensities (or none)</w:t>
      </w:r>
      <w:r w:rsidR="00DF0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forearm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="00DF0B7C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scalp EEG following stimulus onset record</w:t>
      </w:r>
      <w:r w:rsidR="00DF0B7C">
        <w:rPr>
          <w:rFonts w:ascii="Times New Roman" w:hAnsi="Times New Roman" w:cs="Times New Roman"/>
          <w:color w:val="000000" w:themeColor="text1"/>
          <w:sz w:val="24"/>
          <w:szCs w:val="24"/>
        </w:rPr>
        <w:t>s the cognitive response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; the task is to predict, from a single trial's EEG epoch, which stimulation intensity produced it.</w:t>
      </w:r>
    </w:p>
    <w:p w14:paraId="5EA8F433" w14:textId="653B904B" w:rsidR="00AF7196" w:rsidRPr="00AE5097" w:rsidRDefault="00000000" w:rsidP="006A7E1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decoder is the prerequisite for the project's </w:t>
      </w:r>
      <w:proofErr w:type="gramStart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ultimate goal</w:t>
      </w:r>
      <w:proofErr w:type="gramEnd"/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closed-loop, discomfort-aware neurofeedback system that reads the cortical response in real time, detects when stimulation becomes intolerable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imperceivable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adjusts intensity and allowable intensity threshold accordingly</w:t>
      </w:r>
      <w:r w:rsidR="006A7E1C">
        <w:rPr>
          <w:rFonts w:ascii="Times New Roman" w:hAnsi="Times New Roman" w:cs="Times New Roman"/>
          <w:color w:val="000000" w:themeColor="text1"/>
          <w:sz w:val="24"/>
          <w:szCs w:val="24"/>
        </w:rPr>
        <w:t>. This is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technology with direct therapeutic applications in anxiety treatment and neurorehabilitation. My work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specifically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covers the offline decoding and modelling stage: preprocessing, feature engineering, model design, validation, explainability, deployable final model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, and example live pipeline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 This work is intended for publication.</w:t>
      </w:r>
    </w:p>
    <w:p w14:paraId="12AD24C4" w14:textId="178CA8BF" w:rsidR="00AF7196" w:rsidRPr="00AE5097" w:rsidRDefault="00000000" w:rsidP="003361A2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The problem is difficult for three reasons: the discriminative signal is a stimulus-locked evoked response whose neighbouring intensities look similar (errors concentrate between adjacent classes); each subject provides only 160 trials, so high-dimensional feature sets overfit; and there is large inter-subject variability, producing a persistent gap between within-subject and cross-subject accuracy.</w:t>
      </w:r>
    </w:p>
    <w:p w14:paraId="17683DAF" w14:textId="77777777" w:rsidR="00AF7196" w:rsidRPr="00AE5097" w:rsidRDefault="00000000" w:rsidP="00AE5097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 Data and Preprocessing</w:t>
      </w:r>
    </w:p>
    <w:p w14:paraId="15132B2F" w14:textId="3C4DC041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dataset comprises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31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subjects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, of which subjects 10 and 24 have been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removed due to excessive noise.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was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recorded with a 60-channel EEG montage at a 1000 Hz source rate. 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preprocessing pipeline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was </w:t>
      </w:r>
      <w:proofErr w:type="spellStart"/>
      <w:proofErr w:type="gramStart"/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build</w:t>
      </w:r>
      <w:proofErr w:type="spellEnd"/>
      <w:proofErr w:type="gramEnd"/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convert each raw recording into modelling-ready epochs: anti-aliased downsampling to 250 Hz, stimulus-locked epoching to a −0.2 s to +1.5 s window (425 samples, retaining a 200 ms pre-stimulus baseline), and a per-subject artifact filter that removes trials with outlier pre-stimulus baseline variance.</w:t>
      </w:r>
    </w:p>
    <w:p w14:paraId="1B6C5DED" w14:textId="0822EE01" w:rsidR="00AF7196" w:rsidRDefault="00000000" w:rsidP="003361A2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the four original stimulation levels I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formulated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several class schemes to ask different scientific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inquiries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the original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4-class set (no-stim / min / medium / max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[40/40/40/40]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a </w:t>
      </w:r>
      <w:r w:rsidRPr="003361A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primary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3-class set (no-stim / medium / max,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40/80/40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a balanced 3-class set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361A2"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min / medium / max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[40/40/40])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and a 2-class </w:t>
      </w:r>
      <w:r w:rsid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(tolerable / intolerable, [120/40])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set that frames the safety-relevant question directly.</w:t>
      </w:r>
    </w:p>
    <w:p w14:paraId="19944730" w14:textId="404D1874" w:rsidR="003361A2" w:rsidRPr="00AE5097" w:rsidRDefault="003361A2" w:rsidP="003361A2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61A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below 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demonstrates the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160 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>trial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evoked responses (ERPs) </w:t>
      </w:r>
      <w:r w:rsidR="00952A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the first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952A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subjects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’ central and </w:t>
      </w:r>
      <w:proofErr w:type="spellStart"/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fronto</w:t>
      </w:r>
      <w:proofErr w:type="spellEnd"/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-central </w:t>
      </w:r>
      <w:proofErr w:type="spellStart"/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>across</w:t>
      </w:r>
      <w:proofErr w:type="spellEnd"/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stimulation conditions,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visually illustrating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stimulus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>-dependent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neuro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haptic 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machine learning model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exploits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time domain</w:t>
      </w:r>
      <w:r w:rsidRPr="003361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52A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full 31 subject diagram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is in</w:t>
      </w:r>
      <w:r w:rsidR="00952A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appendix.</w:t>
      </w:r>
    </w:p>
    <w:p w14:paraId="275C1B40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986959" wp14:editId="76F3B669">
            <wp:extent cx="5306490" cy="23794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s-data-trimmed_erp_grid_4class.png"/>
                    <pic:cNvPicPr/>
                  </pic:nvPicPr>
                  <pic:blipFill rotWithShape="1">
                    <a:blip r:embed="rId6"/>
                    <a:srcRect b="8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36" cy="241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5C85E" w14:textId="77777777" w:rsidR="00AF7196" w:rsidRPr="00AE5097" w:rsidRDefault="00000000" w:rsidP="00AE5097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 Methods</w:t>
      </w:r>
    </w:p>
    <w:p w14:paraId="6EB49EA7" w14:textId="77777777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Feature representations.</w:t>
      </w:r>
    </w:p>
    <w:p w14:paraId="22376B13" w14:textId="7FF2C0E2" w:rsidR="00AF7196" w:rsidRPr="00AE5097" w:rsidRDefault="001E0845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feature pipeline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 been designed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in which any set of “feature families” can be combined, each a self-contained, scikit-learn-compatible extractor grounded in a distinct neural phenomenon:</w:t>
      </w:r>
    </w:p>
    <w:p w14:paraId="43137BDD" w14:textId="77777777" w:rsidR="00AF7196" w:rsidRPr="00AE5097" w:rsidRDefault="00000000" w:rsidP="00AE5097">
      <w:pPr>
        <w:pStyle w:val="ListBullet"/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ERP / SEP (time domain): amplitude and latency features of the somatosensory evoked potential over central and fronto-central channels.</w:t>
      </w:r>
    </w:p>
    <w:p w14:paraId="5D839D75" w14:textId="77777777" w:rsidR="00AF7196" w:rsidRPr="00AE5097" w:rsidRDefault="00000000" w:rsidP="00AE5097">
      <w:pPr>
        <w:pStyle w:val="ListBullet"/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Band-power (frequency domain): log spectral power per canonical band (delta, theta, alpha, beta, gamma).</w:t>
      </w:r>
    </w:p>
    <w:p w14:paraId="1D3C78FB" w14:textId="7DBCFCD1" w:rsidR="00AF7196" w:rsidRPr="00AE5097" w:rsidRDefault="00000000" w:rsidP="00AE5097">
      <w:pPr>
        <w:pStyle w:val="ListBullet"/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ERD/ERS (time-frequency):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vent-related de/synchroniz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ation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sensorimotor rhyth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ms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FA091B" w14:textId="4D40C611" w:rsidR="00AF7196" w:rsidRPr="00AE5097" w:rsidRDefault="00000000" w:rsidP="00AE5097">
      <w:pPr>
        <w:pStyle w:val="ListBullet"/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Riemannian covariance: </w:t>
      </w:r>
      <w:r w:rsidR="001E0845">
        <w:rPr>
          <w:rFonts w:ascii="Times New Roman" w:hAnsi="Times New Roman" w:cs="Times New Roman"/>
          <w:color w:val="000000" w:themeColor="text1"/>
          <w:sz w:val="24"/>
          <w:szCs w:val="24"/>
        </w:rPr>
        <w:t>channel-channel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covariance projected into tangent space.</w:t>
      </w:r>
    </w:p>
    <w:p w14:paraId="1A3C1512" w14:textId="48FB6AB8" w:rsidR="00AF7196" w:rsidRPr="00AE5097" w:rsidRDefault="00000000" w:rsidP="00AE5097">
      <w:pPr>
        <w:pStyle w:val="ListBullet"/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Functional connectivity: single-trial phase-locking (PLV / iPLV) between fronto-central, central, and parietal regions.</w:t>
      </w:r>
    </w:p>
    <w:p w14:paraId="5DAB253C" w14:textId="77777777" w:rsidR="001E0845" w:rsidRDefault="001E0845" w:rsidP="00AE5097">
      <w:pPr>
        <w:spacing w:after="4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01193A" w14:textId="1EDE9FF4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Classifier and validation.</w:t>
      </w:r>
    </w:p>
    <w:p w14:paraId="5B3176B3" w14:textId="17283549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family feeds a shrinkage-regularized Linear Discriminant Analysis (LDA), well suited to high-dimensional, collinear EEG features. Every model is evaluated with two leakage-safe schemes: within-subject repeated stratified k-fold (the ceiling with per-person calibration data) and, most importantly, leave-one-subject-out (LOSO), which measures generalization to a </w:t>
      </w:r>
      <w:r w:rsidR="00921698">
        <w:rPr>
          <w:rFonts w:ascii="Times New Roman" w:hAnsi="Times New Roman" w:cs="Times New Roman"/>
          <w:color w:val="000000" w:themeColor="text1"/>
          <w:sz w:val="24"/>
          <w:szCs w:val="24"/>
        </w:rPr>
        <w:t>new user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 Pipelines are refit inside every fold so no feature or scaler leaks across the train/test boundary.</w:t>
      </w:r>
    </w:p>
    <w:p w14:paraId="13A38673" w14:textId="77777777" w:rsidR="00AF7196" w:rsidRPr="00AE5097" w:rsidRDefault="00000000" w:rsidP="00AE5097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 Models and Results</w:t>
      </w:r>
    </w:p>
    <w:p w14:paraId="03699FF4" w14:textId="72A3C27F" w:rsidR="00AF7196" w:rsidRPr="00AE5097" w:rsidRDefault="00921698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Baselines were initially established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, then systematically improved on. A shrinkage-LDA on ERP + band-power features decodes the 3-class task at roughly twice chance (33%), and a from-scratch EEGNet convolutional network learning directly from raw EEG did not beat it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W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ith only 160 trials per subject, the deep network has no data advantage over a well-regularized linear model on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efficient, neuroscience backed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features.</w:t>
      </w:r>
    </w:p>
    <w:p w14:paraId="062A13A2" w14:textId="760B839D" w:rsidR="00AF7196" w:rsidRPr="00AE5097" w:rsidRDefault="00712D18" w:rsidP="00921698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However, s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imply concatenating the time-frequency or Riemannian families into one large feature vector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fed to the LDA harmed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cross-subject accuracy (statistical dilution on limited data), and a nested cross-validation feature-selection search could not beat the ERP + band-power baseline. The lesson was that the path forward was 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more “allowing”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architecture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rather than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more features.</w:t>
      </w:r>
    </w:p>
    <w:p w14:paraId="173FE5FA" w14:textId="5143E77F" w:rsidR="00AF7196" w:rsidRPr="00AE5097" w:rsidRDefault="00000000" w:rsidP="00712D18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712D18">
        <w:rPr>
          <w:rFonts w:ascii="Times New Roman" w:hAnsi="Times New Roman" w:cs="Times New Roman"/>
          <w:color w:val="000000" w:themeColor="text1"/>
          <w:sz w:val="24"/>
          <w:szCs w:val="24"/>
        </w:rPr>
        <w:t>most significant architectural shift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</w:t>
      </w:r>
      <w:r w:rsidR="00712D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 stacking ensemble: train</w:t>
      </w:r>
      <w:r w:rsidR="00712D18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LDA per feature family and fuse their class-probability outputs with a logistic meta-learner. Each base model stays low-dimensional relative to its own family, and the meta-learner learns how much to trust each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. Therefore,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complementary-but-individually-weak views add 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opinion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rather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than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diluting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input vector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 This is the only approach that beat the baseline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LDA using ERP + BP on both LOSO and within-subject accuracy.</w:t>
      </w:r>
    </w:p>
    <w:p w14:paraId="7B3916C8" w14:textId="77777777" w:rsidR="002806F6" w:rsidRDefault="002806F6" w:rsidP="00AE5097">
      <w:pPr>
        <w:spacing w:after="80" w:line="48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75FC20E" w14:textId="77777777" w:rsidR="002806F6" w:rsidRDefault="002806F6" w:rsidP="00AE5097">
      <w:pPr>
        <w:spacing w:after="80" w:line="48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CAF6E6C" w14:textId="77777777" w:rsidR="002806F6" w:rsidRDefault="002806F6" w:rsidP="00AE5097">
      <w:pPr>
        <w:spacing w:after="80" w:line="48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2049522" w14:textId="77777777" w:rsidR="002806F6" w:rsidRDefault="002806F6" w:rsidP="00AE5097">
      <w:pPr>
        <w:spacing w:after="80" w:line="48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69FDE09" w14:textId="77777777" w:rsidR="002806F6" w:rsidRDefault="002806F6" w:rsidP="00AE5097">
      <w:pPr>
        <w:spacing w:after="80" w:line="48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9665D2C" w14:textId="74F8452B" w:rsidR="00AF7196" w:rsidRPr="00AE5097" w:rsidRDefault="00000000" w:rsidP="00AE5097">
      <w:pPr>
        <w:spacing w:after="8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Table 1. Decoding accuracy across main models (within-subject and LOSO</w:t>
      </w:r>
      <w:r w:rsidR="002806F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accuracy</w:t>
      </w: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2700"/>
        <w:gridCol w:w="2790"/>
      </w:tblGrid>
      <w:tr w:rsidR="00AF7196" w:rsidRPr="00AE5097" w14:paraId="50D573F8" w14:textId="77777777" w:rsidTr="00280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711210D" w14:textId="56EE2748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(3-class unless</w:t>
            </w:r>
            <w:r w:rsidR="002806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noted)</w:t>
            </w:r>
          </w:p>
        </w:tc>
        <w:tc>
          <w:tcPr>
            <w:tcW w:w="2700" w:type="dxa"/>
          </w:tcPr>
          <w:p w14:paraId="272DAED0" w14:textId="4DD5F7FB" w:rsidR="00AF7196" w:rsidRPr="00AE5097" w:rsidRDefault="00000000" w:rsidP="002806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Within </w:t>
            </w:r>
            <w:r w:rsidR="002806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="002806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</w:t>
            </w:r>
          </w:p>
        </w:tc>
        <w:tc>
          <w:tcPr>
            <w:tcW w:w="2790" w:type="dxa"/>
          </w:tcPr>
          <w:p w14:paraId="1E983928" w14:textId="2917F4F4" w:rsidR="00AF7196" w:rsidRPr="00AE5097" w:rsidRDefault="00000000" w:rsidP="002806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LOSO </w:t>
            </w:r>
            <w:r w:rsidR="002806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="002806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</w:t>
            </w:r>
          </w:p>
        </w:tc>
      </w:tr>
      <w:tr w:rsidR="00AF7196" w:rsidRPr="00AE5097" w14:paraId="06F0C02C" w14:textId="77777777" w:rsidTr="00280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1E8B214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LDA, ERP + band-power </w:t>
            </w:r>
          </w:p>
          <w:p w14:paraId="27CED307" w14:textId="048FF64E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(baseline)</w:t>
            </w:r>
          </w:p>
        </w:tc>
        <w:tc>
          <w:tcPr>
            <w:tcW w:w="2700" w:type="dxa"/>
          </w:tcPr>
          <w:p w14:paraId="44827687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71.1 / 70.3</w:t>
            </w:r>
          </w:p>
        </w:tc>
        <w:tc>
          <w:tcPr>
            <w:tcW w:w="2790" w:type="dxa"/>
          </w:tcPr>
          <w:p w14:paraId="5C0A01B7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62.8 / 59.9</w:t>
            </w:r>
          </w:p>
        </w:tc>
      </w:tr>
      <w:tr w:rsidR="00AF7196" w:rsidRPr="00AE5097" w14:paraId="57A387B5" w14:textId="77777777" w:rsidTr="00280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D0C1BB6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EEGNet </w:t>
            </w:r>
          </w:p>
          <w:p w14:paraId="5D0900AB" w14:textId="76105EA7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(deep network, raw EEG)</w:t>
            </w:r>
          </w:p>
        </w:tc>
        <w:tc>
          <w:tcPr>
            <w:tcW w:w="2700" w:type="dxa"/>
          </w:tcPr>
          <w:p w14:paraId="3D6B922A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63.4 / 64.7</w:t>
            </w:r>
          </w:p>
        </w:tc>
        <w:tc>
          <w:tcPr>
            <w:tcW w:w="2790" w:type="dxa"/>
          </w:tcPr>
          <w:p w14:paraId="62D31A44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59.8 / 60.8</w:t>
            </w:r>
          </w:p>
        </w:tc>
      </w:tr>
      <w:tr w:rsidR="00AF7196" w:rsidRPr="00AE5097" w14:paraId="2E664329" w14:textId="77777777" w:rsidTr="00280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01186C27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Stacking ensemble </w:t>
            </w:r>
          </w:p>
          <w:p w14:paraId="3799FEE6" w14:textId="564957F0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(4-family)</w:t>
            </w:r>
          </w:p>
        </w:tc>
        <w:tc>
          <w:tcPr>
            <w:tcW w:w="2700" w:type="dxa"/>
          </w:tcPr>
          <w:p w14:paraId="29D496B9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73.0 / 70.2</w:t>
            </w:r>
          </w:p>
        </w:tc>
        <w:tc>
          <w:tcPr>
            <w:tcW w:w="2790" w:type="dxa"/>
          </w:tcPr>
          <w:p w14:paraId="5BA6F087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66.7 / 63.0</w:t>
            </w:r>
          </w:p>
        </w:tc>
      </w:tr>
      <w:tr w:rsidR="00AF7196" w:rsidRPr="00AE5097" w14:paraId="4C561FB8" w14:textId="77777777" w:rsidTr="00280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7676DE5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Stacking ensemble </w:t>
            </w:r>
          </w:p>
          <w:p w14:paraId="242B46C0" w14:textId="20F9BA29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(5-family) — BEST</w:t>
            </w:r>
          </w:p>
        </w:tc>
        <w:tc>
          <w:tcPr>
            <w:tcW w:w="2700" w:type="dxa"/>
          </w:tcPr>
          <w:p w14:paraId="2B45F8D6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790" w:type="dxa"/>
          </w:tcPr>
          <w:p w14:paraId="3667EF5A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68.1 / 64.8</w:t>
            </w:r>
          </w:p>
        </w:tc>
      </w:tr>
      <w:tr w:rsidR="00AF7196" w:rsidRPr="00AE5097" w14:paraId="06B42136" w14:textId="77777777" w:rsidTr="00280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09D96C1F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Stacking, 7-channel </w:t>
            </w:r>
          </w:p>
          <w:p w14:paraId="1F0BAF63" w14:textId="56BF7431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X.on</w:t>
            </w:r>
            <w:proofErr w:type="spellEnd"/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montage</w:t>
            </w:r>
          </w:p>
        </w:tc>
        <w:tc>
          <w:tcPr>
            <w:tcW w:w="2700" w:type="dxa"/>
          </w:tcPr>
          <w:p w14:paraId="1E541EC4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69.1 / 65.4</w:t>
            </w:r>
          </w:p>
        </w:tc>
        <w:tc>
          <w:tcPr>
            <w:tcW w:w="2790" w:type="dxa"/>
          </w:tcPr>
          <w:p w14:paraId="1C2D08B7" w14:textId="77777777" w:rsidR="00AF7196" w:rsidRPr="00AE5097" w:rsidRDefault="00000000" w:rsidP="002806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64.0 / 59.8</w:t>
            </w:r>
          </w:p>
        </w:tc>
      </w:tr>
      <w:tr w:rsidR="00AF7196" w:rsidRPr="00AE5097" w14:paraId="335DE412" w14:textId="77777777" w:rsidTr="00280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992F5D6" w14:textId="77777777" w:rsidR="002806F6" w:rsidRDefault="00000000" w:rsidP="002806F6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2-class </w:t>
            </w:r>
          </w:p>
          <w:p w14:paraId="476AC818" w14:textId="75159F73" w:rsidR="00AF7196" w:rsidRPr="00AE5097" w:rsidRDefault="00000000" w:rsidP="002806F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tolerable vs intolerable</w:t>
            </w:r>
          </w:p>
        </w:tc>
        <w:tc>
          <w:tcPr>
            <w:tcW w:w="2700" w:type="dxa"/>
          </w:tcPr>
          <w:p w14:paraId="668B1263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87.3 / 86.4</w:t>
            </w:r>
          </w:p>
        </w:tc>
        <w:tc>
          <w:tcPr>
            <w:tcW w:w="2790" w:type="dxa"/>
          </w:tcPr>
          <w:p w14:paraId="004D5FB9" w14:textId="77777777" w:rsidR="00AF7196" w:rsidRPr="00AE5097" w:rsidRDefault="00000000" w:rsidP="002806F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50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79.9 / 79.9</w:t>
            </w:r>
          </w:p>
        </w:tc>
      </w:tr>
    </w:tbl>
    <w:p w14:paraId="3403524B" w14:textId="77777777" w:rsidR="00AF7196" w:rsidRPr="00AE5097" w:rsidRDefault="00AF7196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150F50" w14:textId="77777777" w:rsidR="002806F6" w:rsidRDefault="002806F6" w:rsidP="00AE5097">
      <w:pPr>
        <w:spacing w:after="4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E78E19B" w14:textId="5F61916E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Feature interpretation.</w:t>
      </w:r>
    </w:p>
    <w:p w14:paraId="7E73F9C1" w14:textId="56472C92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Because the pipeline is linear, read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exactly which neural features drive the decoding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possible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 Two convergent analyses (univariate discriminability and fold-stable LDA weights) show the decoder relies on central/fronto-central evoked-potential amplitude plus gamma-band power, and these features scale monotonically with stimulation intensity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There is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 g</w:t>
      </w:r>
      <w:r w:rsidR="002806F6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nuine dose-response.</w:t>
      </w:r>
    </w:p>
    <w:p w14:paraId="42416A75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02E276D" wp14:editId="25AB3FC4">
            <wp:extent cx="5486400" cy="2722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trends_3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E265" w14:textId="77777777" w:rsidR="00AF7196" w:rsidRDefault="00000000" w:rsidP="00AE5097">
      <w:pPr>
        <w:spacing w:after="200" w:line="48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2. Dose-response of the top decoding features across the three intensity conditions; the features increase monotonically with stimulation level, confirming a real graded neural signal.</w:t>
      </w:r>
    </w:p>
    <w:p w14:paraId="7057E3BF" w14:textId="77777777" w:rsidR="002806F6" w:rsidRPr="00AE5097" w:rsidRDefault="002806F6" w:rsidP="00AE5097">
      <w:pPr>
        <w:spacing w:after="2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031900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5B9FA66" wp14:editId="3AC7FDBC">
            <wp:extent cx="4206240" cy="251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_bandpower_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0CD0" w14:textId="77777777" w:rsidR="00AF7196" w:rsidRPr="00AE5097" w:rsidRDefault="00000000" w:rsidP="00AE5097">
      <w:pPr>
        <w:spacing w:after="2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3. Per-band discriminability of the band-power features. Gamma-band power is the most informative spectral signature of stimulation intensity.</w:t>
      </w:r>
    </w:p>
    <w:p w14:paraId="1C6F4C0D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55DF79B" wp14:editId="20F0B4C6">
            <wp:extent cx="3840480" cy="3212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2F2" w14:textId="417FD029" w:rsidR="00AF7196" w:rsidRPr="00AE5097" w:rsidRDefault="00000000" w:rsidP="00AE5097">
      <w:pPr>
        <w:spacing w:after="2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4. Confusion matrix of the stacking ensemble (LOSO). Errors concentrate between adjacent intensities; the middle class is the hardest to separate.</w:t>
      </w:r>
    </w:p>
    <w:p w14:paraId="4EA62EE8" w14:textId="77777777" w:rsidR="00AF7196" w:rsidRPr="00AE5097" w:rsidRDefault="00000000" w:rsidP="00AE5097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5.  Key Findings</w:t>
      </w:r>
    </w:p>
    <w:p w14:paraId="586250D2" w14:textId="77777777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  Functional</w:t>
      </w:r>
      <w:proofErr w:type="gramEnd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connectivity between cortical regions.</w:t>
      </w:r>
    </w:p>
    <w:p w14:paraId="4EC380A0" w14:textId="0F223203" w:rsidR="00AF7196" w:rsidRPr="00AE5097" w:rsidRDefault="0046428A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For further discovery of spatial features, an inquiry was passed on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whether the opaque Riemannian covariance feature could be replaced with something more interpretable, so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analys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is was conducted upon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phase-based functional connectivity between fronto-central, central, and parietal regions. Using phase-locking value (PLV) and its volume-conduction-robust imaginary variant (</w:t>
      </w:r>
      <w:proofErr w:type="spellStart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iPLV</w:t>
      </w:r>
      <w:proofErr w:type="spellEnd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was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found that stimulation intensity dose-dependently modulates inter-region phase coupling: low-frequency (delta/theta/alpha) coupling rises with intensity while gamma coupling falls (significant at p ≈ 0). Stronger EMS drives widespread low-frequency phase synchronization across the network.</w:t>
      </w:r>
    </w:p>
    <w:p w14:paraId="3D2A4906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53E400" wp14:editId="265EA633">
            <wp:extent cx="5669280" cy="1357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se_response_iPL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4F49" w14:textId="1EC07904" w:rsidR="00AF7196" w:rsidRPr="00AE5097" w:rsidRDefault="00000000" w:rsidP="00AE5097">
      <w:pPr>
        <w:spacing w:after="2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5. Inter-region phase coupling (iPLV) versus stimulation intensity, per frequency band. Low</w:t>
      </w:r>
      <w:r w:rsidR="00D7020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frequency coupling between regions increases with intensity.</w:t>
      </w:r>
    </w:p>
    <w:p w14:paraId="302E70C6" w14:textId="4E06178F" w:rsidR="00AF7196" w:rsidRPr="00AE5097" w:rsidRDefault="00AF7196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06879" w14:textId="58BAB4BF" w:rsidR="00AF7196" w:rsidRDefault="0046428A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was converted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into a per-trial connectivity feature family. It matches Riemannian covariance in the decoder using only 60 interpretable features (versus 1830), and the meta-learner </w:t>
      </w:r>
      <w:proofErr w:type="gramStart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actually trusts</w:t>
      </w:r>
      <w:proofErr w:type="gramEnd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more. Adding both connectivity and Riemannian produced the project's best model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the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5-family stack at 68.1% / 64.8%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balanced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LOSO accuracy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confirmed that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two spatial views are complementary.</w:t>
      </w:r>
    </w:p>
    <w:p w14:paraId="77F490AA" w14:textId="77777777" w:rsidR="00D7020B" w:rsidRPr="00AE5097" w:rsidRDefault="00D7020B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C4EC56" w14:textId="77777777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5.2  Biomarkers</w:t>
      </w:r>
      <w:proofErr w:type="gramEnd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of intolerable stimulation.</w:t>
      </w:r>
    </w:p>
    <w:p w14:paraId="4AAB605B" w14:textId="2E878227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To serve the clinical goal directly,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refram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ing of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task as a binary tolerable-vs-intolerable classification with principled class-imbalance handling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conducted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 This reached 87.3% within-subject and 79.9% LOSO accuracy (ROC-AUC 0.94 / 0.88) for detecting intolerable stimulation, and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most importantly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surfaced concrete, interpretable biomarkers: elevated fronto-central gamma-band power and a larger central evoked-potential amplitude, both known to scale with stimulus intensity. This 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gave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AIM L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ab a physiologically defensible basis for a future discomfort-aware stop trigger.</w:t>
      </w:r>
    </w:p>
    <w:p w14:paraId="2B9C56FB" w14:textId="77777777" w:rsidR="00AF7196" w:rsidRPr="00AE5097" w:rsidRDefault="00000000" w:rsidP="00AE5097">
      <w:pPr>
        <w:spacing w:before="80" w:after="4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A3A41F" wp14:editId="2D714244">
            <wp:extent cx="5362625" cy="380435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features_2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069" cy="382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9F72" w14:textId="4062B77A" w:rsidR="00AF7196" w:rsidRDefault="00000000" w:rsidP="00AE5097">
      <w:pPr>
        <w:spacing w:after="200" w:line="48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7. Top features distinguishing intolerable from tolerable stimulation (red = elevated in intolerable). Central evoked-potential amplitude and gamma power dominate.</w:t>
      </w:r>
    </w:p>
    <w:p w14:paraId="0A7891AD" w14:textId="77777777" w:rsidR="00D7020B" w:rsidRPr="00AE5097" w:rsidRDefault="00D7020B" w:rsidP="00AE5097">
      <w:pPr>
        <w:spacing w:after="20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0E9E19" w14:textId="77777777" w:rsidR="00AF7196" w:rsidRPr="00AE5097" w:rsidRDefault="00000000" w:rsidP="00AE5097">
      <w:pPr>
        <w:spacing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5.3  A</w:t>
      </w:r>
      <w:proofErr w:type="gramEnd"/>
      <w:r w:rsidRPr="00AE50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deployable 7-channel montage.</w:t>
      </w:r>
    </w:p>
    <w:p w14:paraId="2DD3FC13" w14:textId="3BF52BA3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real-world use, a wearable headset cannot use 60 electrodes. I showed that restricting the same stacking model to a 7-channel montage (the </w:t>
      </w:r>
      <w:proofErr w:type="gramStart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X.on</w:t>
      </w:r>
      <w:proofErr w:type="gramEnd"/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 configuration) retains roughly 96% of the full-cap accuracy (64.0% versus 66.7% LOSO) using a 12x smaller electrode set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. This is a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practical, deployable result.</w:t>
      </w:r>
    </w:p>
    <w:p w14:paraId="387A3A52" w14:textId="77777777" w:rsidR="00AF7196" w:rsidRPr="00AE5097" w:rsidRDefault="00000000" w:rsidP="00AE5097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 Explainability and Conclusion</w:t>
      </w:r>
    </w:p>
    <w:p w14:paraId="441C3853" w14:textId="120044E3" w:rsidR="00AF7196" w:rsidRPr="00AE5097" w:rsidRDefault="00000000" w:rsidP="00AE509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distinguishing feature of this work is that the final model, despite being an ensemble, remains a fully transparent 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>model.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Because it is two stacked linear layers, any prediction can be decomposed exactly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with no black-box approximation</w:t>
      </w:r>
      <w:r w:rsidR="004642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back through the meta-learner's family weights to the individual channels, frequency bands, and evoked-potential components that produced it. I</w:t>
      </w:r>
      <w:r w:rsidR="006826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was 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verified that the meta-learner's weighting choices map onto known intensity-coding physiology (for example, high intensity is read primarily from induced gamma power), so every </w:t>
      </w:r>
      <w:r w:rsidR="00682654">
        <w:rPr>
          <w:rFonts w:ascii="Times New Roman" w:hAnsi="Times New Roman" w:cs="Times New Roman"/>
          <w:color w:val="000000" w:themeColor="text1"/>
          <w:sz w:val="24"/>
          <w:szCs w:val="24"/>
        </w:rPr>
        <w:t>inference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auditable in neuroscien</w:t>
      </w:r>
      <w:r w:rsidR="00682654">
        <w:rPr>
          <w:rFonts w:ascii="Times New Roman" w:hAnsi="Times New Roman" w:cs="Times New Roman"/>
          <w:color w:val="000000" w:themeColor="text1"/>
          <w:sz w:val="24"/>
          <w:szCs w:val="24"/>
        </w:rPr>
        <w:t>ce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A9AE82" w14:textId="1807E822" w:rsidR="00AF7196" w:rsidRDefault="00000000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summary, over two months I built an end-to-end EEG decoding pipeline, designed a stacking-ensemble architecture that outperforms both a strong linear baseline and a deep network, discovered interpretable neural biomarkers of intolerable stimulation, demonstrated a deployable reduced-channel montage, and developed a functional-connectivity feature that both improved the model and made it more interpretable. The result is the decoding foundation for a closed-loop, discomfort-aware EMS system with therapeutic applications in anxiety treatment and neurorehabilitation, and the work is intended for </w:t>
      </w:r>
      <w:r w:rsidR="00682654">
        <w:rPr>
          <w:rFonts w:ascii="Times New Roman" w:hAnsi="Times New Roman" w:cs="Times New Roman"/>
          <w:color w:val="000000" w:themeColor="text1"/>
          <w:sz w:val="24"/>
          <w:szCs w:val="24"/>
        </w:rPr>
        <w:t>publi</w:t>
      </w:r>
      <w:r w:rsidRPr="00AE5097">
        <w:rPr>
          <w:rFonts w:ascii="Times New Roman" w:hAnsi="Times New Roman" w:cs="Times New Roman"/>
          <w:color w:val="000000" w:themeColor="text1"/>
          <w:sz w:val="24"/>
          <w:szCs w:val="24"/>
        </w:rPr>
        <w:t>cation.</w:t>
      </w:r>
    </w:p>
    <w:p w14:paraId="61090046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5611B0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56C293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ADFD9D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D591A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3E6695" w14:textId="77777777" w:rsidR="00682654" w:rsidRDefault="00682654" w:rsidP="00682654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CB86B" w14:textId="0659FA3F" w:rsidR="00682654" w:rsidRPr="00682654" w:rsidRDefault="00682654" w:rsidP="00682654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826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Appendix</w:t>
      </w:r>
    </w:p>
    <w:p w14:paraId="518FA384" w14:textId="0E80EAEE" w:rsidR="00952A58" w:rsidRPr="00AE5097" w:rsidRDefault="00952A58" w:rsidP="00424B63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0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2C15620" wp14:editId="1091D6B0">
            <wp:extent cx="2768027" cy="7315200"/>
            <wp:effectExtent l="0" t="0" r="635" b="0"/>
            <wp:docPr id="610691126" name="Picture 61069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s-data-trimmed_erp_grid_4cla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7161" cy="73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A58" w:rsidRPr="00AE50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42520">
    <w:abstractNumId w:val="8"/>
  </w:num>
  <w:num w:numId="2" w16cid:durableId="1861042736">
    <w:abstractNumId w:val="6"/>
  </w:num>
  <w:num w:numId="3" w16cid:durableId="1312826120">
    <w:abstractNumId w:val="5"/>
  </w:num>
  <w:num w:numId="4" w16cid:durableId="1915623749">
    <w:abstractNumId w:val="4"/>
  </w:num>
  <w:num w:numId="5" w16cid:durableId="1936817421">
    <w:abstractNumId w:val="7"/>
  </w:num>
  <w:num w:numId="6" w16cid:durableId="1625890781">
    <w:abstractNumId w:val="3"/>
  </w:num>
  <w:num w:numId="7" w16cid:durableId="190533543">
    <w:abstractNumId w:val="2"/>
  </w:num>
  <w:num w:numId="8" w16cid:durableId="1314486565">
    <w:abstractNumId w:val="1"/>
  </w:num>
  <w:num w:numId="9" w16cid:durableId="442308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D7A"/>
    <w:rsid w:val="001E0845"/>
    <w:rsid w:val="002806F6"/>
    <w:rsid w:val="0029639D"/>
    <w:rsid w:val="00326F90"/>
    <w:rsid w:val="003361A2"/>
    <w:rsid w:val="00424B63"/>
    <w:rsid w:val="0046428A"/>
    <w:rsid w:val="00682654"/>
    <w:rsid w:val="006A7E1C"/>
    <w:rsid w:val="00712D18"/>
    <w:rsid w:val="00921698"/>
    <w:rsid w:val="00952A58"/>
    <w:rsid w:val="00AA1D8D"/>
    <w:rsid w:val="00AE5097"/>
    <w:rsid w:val="00AF7196"/>
    <w:rsid w:val="00B47730"/>
    <w:rsid w:val="00BC51E2"/>
    <w:rsid w:val="00CB0664"/>
    <w:rsid w:val="00D7020B"/>
    <w:rsid w:val="00DF0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EF143"/>
  <w14:defaultImageDpi w14:val="300"/>
  <w15:docId w15:val="{A8A37161-AA0B-3A4F-9CDA-E8D86697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Said Kablawi</cp:lastModifiedBy>
  <cp:revision>8</cp:revision>
  <dcterms:created xsi:type="dcterms:W3CDTF">2013-12-23T23:15:00Z</dcterms:created>
  <dcterms:modified xsi:type="dcterms:W3CDTF">2026-07-09T16:20:00Z</dcterms:modified>
  <cp:category/>
</cp:coreProperties>
</file>