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1295C"/>
          <w:sz w:val="40"/>
        </w:rPr>
        <w:t>Decoding EMS Stimulation Intensity from EEG</w:t>
      </w:r>
    </w:p>
    <w:p>
      <w:pPr>
        <w:jc w:val="center"/>
      </w:pPr>
      <w:r>
        <w:rPr>
          <w:color w:val="1C7293"/>
          <w:sz w:val="24"/>
        </w:rPr>
        <w:t>A Machine-Learning Pipeline for a Closed-Loop Neurofeedback System</w:t>
      </w:r>
    </w:p>
    <w:p>
      <w:pPr>
        <w:jc w:val="center"/>
      </w:pPr>
      <w:r>
        <w:rPr>
          <w:i/>
          <w:sz w:val="20"/>
        </w:rPr>
        <w:t>Summary of a 2-month research internship  ·  Prepared for NYU</w:t>
      </w:r>
    </w:p>
    <w:p/>
    <w:p>
      <w:pPr>
        <w:pStyle w:val="Heading1"/>
      </w:pPr>
      <w:r>
        <w:rPr>
          <w:color w:val="21295C"/>
        </w:rPr>
        <w:t>1.  Introduction and Problem</w:t>
      </w:r>
    </w:p>
    <w:p>
      <w:pPr>
        <w:spacing w:after="120"/>
      </w:pPr>
      <w:r>
        <w:rPr>
          <w:b w:val="0"/>
          <w:i w:val="0"/>
          <w:sz w:val="21"/>
        </w:rPr>
        <w:t>Over a two-month internship I built the complete offline machine-learning pipeline that decodes the intensity of an electrical muscle stimulation (EMS) pulse from a subject's EEG brain response. On each trial an EMS device delivers a pulse at one of several pre-set intensities (or none), and the scalp EEG following stimulus onset is recorded; the task is to predict, from a single trial's EEG epoch, which stimulation intensity produced it.</w:t>
      </w:r>
    </w:p>
    <w:p>
      <w:pPr>
        <w:spacing w:after="120"/>
      </w:pPr>
      <w:r>
        <w:rPr>
          <w:b w:val="0"/>
          <w:i w:val="0"/>
          <w:sz w:val="21"/>
        </w:rPr>
        <w:t>This decoder is the prerequisite for the project's ultimate goal: a closed-loop, discomfort-aware neurofeedback system that reads the cortical response in real time, detects when stimulation becomes intolerable, and automatically stops or modulates it — a technology with direct therapeutic applications in anxiety treatment and neurorehabilitation. My work covers the offline decoding and modelling stage: preprocessing, feature engineering, model design, validation, explainability, and a deployable final model. This work is intended for publication.</w:t>
      </w:r>
    </w:p>
    <w:p>
      <w:pPr>
        <w:spacing w:after="120"/>
      </w:pPr>
      <w:r>
        <w:rPr>
          <w:b w:val="0"/>
          <w:i w:val="0"/>
          <w:sz w:val="21"/>
        </w:rPr>
        <w:t>The problem is genuinely difficult for three reasons: the discriminative signal is a stimulus-locked evoked response whose neighbouring intensities look similar (errors concentrate between adjacent classes); each subject provides only ~120–160 trials, so high-dimensional feature sets overfit; and there is large inter-subject variability, producing a persistent gap between within-subject and cross-subject accuracy.</w:t>
      </w:r>
    </w:p>
    <w:p>
      <w:pPr>
        <w:pStyle w:val="Heading1"/>
      </w:pPr>
      <w:r>
        <w:rPr>
          <w:color w:val="21295C"/>
        </w:rPr>
        <w:t>2.  Data and Preprocessing</w:t>
      </w:r>
    </w:p>
    <w:p>
      <w:pPr>
        <w:spacing w:after="120"/>
      </w:pPr>
      <w:r>
        <w:rPr>
          <w:b w:val="0"/>
          <w:i w:val="0"/>
          <w:sz w:val="21"/>
        </w:rPr>
        <w:t>The dataset comprises 29 subjects recorded with a 60-channel EEG montage at a 1000 Hz source rate. I built the preprocessing pipeline that converts each raw recording into modelling-ready epochs: anti-aliased downsampling to 250 Hz, stimulus-locked epoching to a −0.2 s to +1.5 s window (425 samples, retaining a 200 ms pre-stimulus baseline), and a per-subject artifact filter that removes trials with outlier pre-stimulus baseline variance.</w:t>
      </w:r>
    </w:p>
    <w:p>
      <w:pPr>
        <w:spacing w:after="120"/>
      </w:pPr>
      <w:r>
        <w:rPr>
          <w:b w:val="0"/>
          <w:i w:val="0"/>
          <w:sz w:val="21"/>
        </w:rPr>
        <w:t>From the four original stimulation levels I derived several class schemes to ask different scientific questions: a 4-class set (no-stim / min / medium / max, balanced); a primary 3-class set (no-stim / medium / max, 40/80/40); a balanced 3-class set isolating pure intensity; and a 2-class “tolerable vs intolerable” set that frames the safety-relevant question directly.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44991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s-data-trimmed_erp_grid_4cla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9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04040"/>
          <w:sz w:val="18"/>
        </w:rPr>
        <w:t>Figure 1. Trial-averaged evoked responses (ERPs) by channel and subject across stimulation conditions, showing the dose-dependent, stimulus-locked cortical response the decoder exploits.</w:t>
      </w:r>
    </w:p>
    <w:p>
      <w:pPr>
        <w:pStyle w:val="Heading1"/>
      </w:pPr>
      <w:r>
        <w:rPr>
          <w:color w:val="21295C"/>
        </w:rPr>
        <w:t>3.  Methods</w:t>
      </w:r>
    </w:p>
    <w:p>
      <w:pPr>
        <w:spacing w:after="40"/>
      </w:pPr>
      <w:r>
        <w:rPr>
          <w:b/>
          <w:i w:val="0"/>
          <w:sz w:val="21"/>
        </w:rPr>
        <w:t>Feature representations.</w:t>
      </w:r>
    </w:p>
    <w:p>
      <w:pPr>
        <w:spacing w:after="120"/>
      </w:pPr>
      <w:r>
        <w:rPr>
          <w:b w:val="0"/>
          <w:i w:val="0"/>
          <w:sz w:val="21"/>
        </w:rPr>
        <w:t>I designed a modular feature pipeline in which any set of “feature families” can be combined, each a self-contained, scikit-learn-compatible extractor grounded in a distinct neural phenomenon:</w:t>
      </w:r>
    </w:p>
    <w:p>
      <w:pPr>
        <w:pStyle w:val="ListBullet"/>
        <w:spacing w:after="40"/>
      </w:pPr>
      <w:r>
        <w:rPr>
          <w:sz w:val="21"/>
        </w:rPr>
        <w:t>ERP / SEP (time domain): amplitude and latency features of the somatosensory evoked potential over central and fronto-central channels.</w:t>
      </w:r>
    </w:p>
    <w:p>
      <w:pPr>
        <w:pStyle w:val="ListBullet"/>
        <w:spacing w:after="40"/>
      </w:pPr>
      <w:r>
        <w:rPr>
          <w:sz w:val="21"/>
        </w:rPr>
        <w:t>Band-power (frequency domain): log spectral power per canonical band (delta, theta, alpha, beta, gamma).</w:t>
      </w:r>
    </w:p>
    <w:p>
      <w:pPr>
        <w:pStyle w:val="ListBullet"/>
        <w:spacing w:after="40"/>
      </w:pPr>
      <w:r>
        <w:rPr>
          <w:sz w:val="21"/>
        </w:rPr>
        <w:t>ERD/ERS (time-frequency): Pfurtscheller event-related de/synchronization of sensorimotor rhythms.</w:t>
      </w:r>
    </w:p>
    <w:p>
      <w:pPr>
        <w:pStyle w:val="ListBullet"/>
        <w:spacing w:after="40"/>
      </w:pPr>
      <w:r>
        <w:rPr>
          <w:sz w:val="21"/>
        </w:rPr>
        <w:t>Riemannian covariance: trial covariance projected into tangent space — a spatial-coupling representation.</w:t>
      </w:r>
    </w:p>
    <w:p>
      <w:pPr>
        <w:pStyle w:val="ListBullet"/>
        <w:spacing w:after="40"/>
      </w:pPr>
      <w:r>
        <w:rPr>
          <w:sz w:val="21"/>
        </w:rPr>
        <w:t>Functional connectivity: single-trial phase-locking (PLV / iPLV) between fronto-central, central, and parietal regions — a neuroscience-grounded, interpretable spatial feature I developed later in the project.</w:t>
      </w:r>
    </w:p>
    <w:p>
      <w:pPr>
        <w:spacing w:after="40"/>
      </w:pPr>
      <w:r>
        <w:rPr>
          <w:b/>
          <w:i w:val="0"/>
          <w:sz w:val="21"/>
        </w:rPr>
        <w:t>Classifier and validation.</w:t>
      </w:r>
    </w:p>
    <w:p>
      <w:pPr>
        <w:spacing w:after="120"/>
      </w:pPr>
      <w:r>
        <w:rPr>
          <w:b w:val="0"/>
          <w:i w:val="0"/>
          <w:sz w:val="21"/>
        </w:rPr>
        <w:t>Each family feeds a shrinkage-regularized Linear Discriminant Analysis (LDA), well suited to high-dimensional, collinear EEG features. Every model is evaluated with two leakage-safe schemes: within-subject repeated stratified k-fold (the ceiling with per-person calibration data) and, most importantly, leave-one-subject-out (LOSO), which measures generalization to a brand-new person — the metric that matters for deployment. Pipelines are refit inside every fold so no feature or scaler leaks across the train/test boundary.</w:t>
      </w:r>
    </w:p>
    <w:p>
      <w:pPr>
        <w:pStyle w:val="Heading1"/>
      </w:pPr>
      <w:r>
        <w:rPr>
          <w:color w:val="21295C"/>
        </w:rPr>
        <w:t>4.  Models and Results</w:t>
      </w:r>
    </w:p>
    <w:p>
      <w:pPr>
        <w:spacing w:after="120"/>
      </w:pPr>
      <w:r>
        <w:rPr>
          <w:b w:val="0"/>
          <w:i w:val="0"/>
          <w:sz w:val="21"/>
        </w:rPr>
        <w:t>I first established baselines, then systematically improved on them. A shrinkage-LDA on ERP + band-power features decodes the 3-class task at roughly twice chance (33%), and a from-scratch EEGNet convolutional network learning directly from raw EEG did not beat it — with only ~120–160 trials per subject, the deep network has no data advantage over a well-regularized linear model on good features.</w:t>
      </w:r>
    </w:p>
    <w:p>
      <w:pPr>
        <w:spacing w:after="120"/>
      </w:pPr>
      <w:r>
        <w:rPr>
          <w:b w:val="0"/>
          <w:i w:val="0"/>
          <w:sz w:val="21"/>
        </w:rPr>
        <w:t>I documented what did not work as carefully as what did: simply concatenating the time-frequency or Riemannian families into one large feature vector hurt cross-subject accuracy (statistical dilution on limited data), and a nested cross-validation feature-selection search could not beat the ERP + band-power baseline. The lesson was that the path forward was a better architecture, not more features.</w:t>
      </w:r>
    </w:p>
    <w:p>
      <w:pPr>
        <w:spacing w:after="120"/>
      </w:pPr>
      <w:r>
        <w:rPr>
          <w:b w:val="0"/>
          <w:i w:val="0"/>
          <w:sz w:val="21"/>
        </w:rPr>
        <w:t>The breakthrough was a stacking ensemble: I train one LDA per feature family and fuse their class-probability outputs with a logistic meta-learner. Each base model stays low-dimensional relative to its own family, and the meta-learner learns how much to trust each — so complementary-but-individually-weak views add signal instead of diluting. This is the only approach that beat the baseline, and it does so on the metric that matters (LOSO).</w:t>
      </w:r>
    </w:p>
    <w:p>
      <w:pPr>
        <w:spacing w:after="80"/>
      </w:pPr>
      <w:r>
        <w:rPr>
          <w:b w:val="0"/>
          <w:i/>
          <w:sz w:val="18"/>
        </w:rPr>
        <w:t>Table 1. Decoding accuracy across the main models (within-subject and cross-subject / LOSO).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Model (3-class unless noted)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Within  acc / bal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LOSO  acc / bal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LDA, ERP + band-power (baseline)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71.1 / 70.3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62.8 / 59.9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EEGNet (deep network, raw EEG)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63.4 / 64.7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59.8 / 60.8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Stacking ensemble (4-family)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73.0 / 70.2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66.7 / 63.0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9"/>
              </w:rPr>
              <w:t>Stacking ensemble (5-family) — BEST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68.1 / 64.8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Stacking, 7-channel X.on montage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69.1 / 65.4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64.0 / 59.8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2-class tolerable vs intolerable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87.3 / 86.4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79.9 / 79.9</w:t>
            </w:r>
          </w:p>
        </w:tc>
      </w:tr>
    </w:tbl>
    <w:p/>
    <w:p>
      <w:pPr>
        <w:spacing w:after="40"/>
      </w:pPr>
      <w:r>
        <w:rPr>
          <w:b/>
          <w:i w:val="0"/>
          <w:sz w:val="21"/>
        </w:rPr>
        <w:t>Feature interpretation.</w:t>
      </w:r>
    </w:p>
    <w:p>
      <w:pPr>
        <w:spacing w:after="120"/>
      </w:pPr>
      <w:r>
        <w:rPr>
          <w:b w:val="0"/>
          <w:i w:val="0"/>
          <w:sz w:val="21"/>
        </w:rPr>
        <w:t>Because the pipeline is linear, I could read exactly which neural features drive the decoding. Two convergent analyses (univariate discriminability and fold-stable LDA weights) show the decoder relies on central/fronto-central evoked-potential amplitude plus gamma-band power, and these features scale monotonically with stimulation intensity — a genuine dose-response.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224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trends_3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04040"/>
          <w:sz w:val="18"/>
        </w:rPr>
        <w:t>Figure 2. Dose-response of the top decoding features across the three intensity conditions; the features increase monotonically with stimulation level, confirming a real graded neural signal.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06240" cy="2519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_bandpower_3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51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04040"/>
          <w:sz w:val="18"/>
        </w:rPr>
        <w:t>Figure 3. Per-band discriminability of the band-power features. Gamma-band power is the most informative spectral signature of stimulation intensity.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0480" cy="32124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21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04040"/>
          <w:sz w:val="18"/>
        </w:rPr>
        <w:t>Figure 4. Confusion matrix of the stacking ensemble (LOSO). Errors concentrate between adjacent intensities, the expected ordinal-confusion structure; the middle class is the hardest to separate.</w:t>
      </w:r>
    </w:p>
    <w:p>
      <w:pPr>
        <w:pStyle w:val="Heading1"/>
      </w:pPr>
      <w:r>
        <w:rPr>
          <w:color w:val="21295C"/>
        </w:rPr>
        <w:t>5.  Key Findings</w:t>
      </w:r>
    </w:p>
    <w:p>
      <w:pPr>
        <w:spacing w:after="40"/>
      </w:pPr>
      <w:r>
        <w:rPr>
          <w:b/>
          <w:i w:val="0"/>
          <w:sz w:val="22"/>
        </w:rPr>
        <w:t>5.1  Functional connectivity between cortical regions.</w:t>
      </w:r>
    </w:p>
    <w:p>
      <w:pPr>
        <w:spacing w:after="120"/>
      </w:pPr>
      <w:r>
        <w:rPr>
          <w:b w:val="0"/>
          <w:i w:val="0"/>
          <w:sz w:val="21"/>
        </w:rPr>
        <w:t>On my own initiative I asked whether the opaque Riemannian covariance feature could be replaced with something more interpretable, so I analysed phase-based functional connectivity between fronto-central, central, and parietal regions. Using phase-locking value (PLV) and its volume-conduction-robust imaginary variant (iPLV), I found that stimulation intensity dose-dependently modulates inter-region phase coupling: low-frequency (delta/theta/alpha) coupling rises with intensity while gamma coupling falls (significant at p ≈ 0). Stronger EMS drives widespread low-frequency phase synchronization across the sensory network.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576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se_response_iPL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57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04040"/>
          <w:sz w:val="18"/>
        </w:rPr>
        <w:t>Figure 5. Inter-region phase coupling (iPLV) versus stimulation intensity, per frequency band. Low-frequency coupling between regions increases dose-dependently with intensity.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57600" cy="84254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on_heatm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842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04040"/>
          <w:sz w:val="18"/>
        </w:rPr>
        <w:t>Figure 6. Region-to-region phase-coupling matrices (fronto-central, central, parietal) at maximum intensity and the change from the no-stimulation baseline, per band.</w:t>
      </w:r>
    </w:p>
    <w:p>
      <w:pPr>
        <w:spacing w:after="120"/>
      </w:pPr>
      <w:r>
        <w:rPr>
          <w:b w:val="0"/>
          <w:i w:val="0"/>
          <w:sz w:val="21"/>
        </w:rPr>
        <w:t>I turned this finding into a per-trial connectivity feature family. It matches Riemannian covariance in the decoder using only 60 interpretable features (versus 1830), and the meta-learner actually trusts it more. Adding both connectivity and Riemannian produced the project's best model — a 5-family stack at 68.1% / 64.8% LOSO accuracy, a marginal but real improvement, confirming the two spatial views are complementary.</w:t>
      </w:r>
    </w:p>
    <w:p>
      <w:pPr>
        <w:spacing w:after="40"/>
      </w:pPr>
      <w:r>
        <w:rPr>
          <w:b/>
          <w:i w:val="0"/>
          <w:sz w:val="22"/>
        </w:rPr>
        <w:t>5.2  Biomarkers of intolerable stimulation.</w:t>
      </w:r>
    </w:p>
    <w:p>
      <w:pPr>
        <w:spacing w:after="120"/>
      </w:pPr>
      <w:r>
        <w:rPr>
          <w:b w:val="0"/>
          <w:i w:val="0"/>
          <w:sz w:val="21"/>
        </w:rPr>
        <w:t>To serve the clinical goal directly, I reframed the task as a binary tolerable-vs-intolerable classification with principled class-imbalance handling. This reached 87.3% within-subject and 79.9% LOSO accuracy (ROC-AUC 0.94 / 0.88) for detecting intolerable stimulation, and — most importantly — surfaced concrete, interpretable biomarkers: elevated fronto-central gamma-band power and a larger central evoked-potential amplitude, both known to scale with stimulus intensity. This gives the lab a physiologically defensible basis for a future discomfort-aware stop trigger.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5029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features_2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50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04040"/>
          <w:sz w:val="18"/>
        </w:rPr>
        <w:t>Figure 7. Top features distinguishing intolerable from tolerable stimulation (red = elevated in intolerable). Central evoked-potential amplitude and fronto-central gamma power dominate.</w:t>
      </w:r>
    </w:p>
    <w:p>
      <w:pPr>
        <w:spacing w:after="40"/>
      </w:pPr>
      <w:r>
        <w:rPr>
          <w:b/>
          <w:i w:val="0"/>
          <w:sz w:val="22"/>
        </w:rPr>
        <w:t>5.3  A deployable 7-channel montage.</w:t>
      </w:r>
    </w:p>
    <w:p>
      <w:pPr>
        <w:spacing w:after="120"/>
      </w:pPr>
      <w:r>
        <w:rPr>
          <w:b w:val="0"/>
          <w:i w:val="0"/>
          <w:sz w:val="21"/>
        </w:rPr>
        <w:t>For real-world use, a wearable headset cannot use 60 electrodes. I showed that restricting the same stacking model to a 7-channel montage (the X.on device configuration) retains roughly 96% of the full-cap accuracy (64.0% versus 66.7% LOSO) using a 12x smaller electrode set — a practical, deployable result.</w:t>
      </w:r>
    </w:p>
    <w:p>
      <w:pPr>
        <w:pStyle w:val="Heading1"/>
      </w:pPr>
      <w:r>
        <w:rPr>
          <w:color w:val="21295C"/>
        </w:rPr>
        <w:t>6.  Explainability and Conclusion</w:t>
      </w:r>
    </w:p>
    <w:p>
      <w:pPr>
        <w:spacing w:after="120"/>
      </w:pPr>
      <w:r>
        <w:rPr>
          <w:b w:val="0"/>
          <w:i w:val="0"/>
          <w:sz w:val="21"/>
        </w:rPr>
        <w:t>A distinguishing feature of this work is that the final model, despite being an ensemble, remains a fully transparent “glass box.” Because it is two stacked linear layers, any prediction can be decomposed exactly — with no black-box approximation — back through the meta-learner's family weights to the individual channels, frequency bands, and evoked-potential components that produced it. I verified that the meta-learner's weighting choices map onto known intensity-coding physiology (for example, high intensity is read primarily from induced gamma power), so every decision is auditable in neuroscientific terms.</w:t>
      </w:r>
    </w:p>
    <w:p>
      <w:pPr>
        <w:spacing w:after="120"/>
      </w:pPr>
      <w:r>
        <w:rPr>
          <w:b w:val="0"/>
          <w:i w:val="0"/>
          <w:sz w:val="21"/>
        </w:rPr>
        <w:t>In summary, over two months I built an end-to-end EEG decoding pipeline, designed a stacking-ensemble architecture that outperforms both a strong linear baseline and a deep network, discovered interpretable neural biomarkers of intolerable stimulation, demonstrated a deployable reduced-channel montage, and developed a functional-connectivity feature that both improved the model and made it more interpretable. The result is the decoding foundation for a closed-loop, discomfort-aware EMS system with therapeutic applications in anxiety treatment and neurorehabilitation, and the work is intended for publication.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