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A6686" w:rsidRDefault="007A6686">
      <w:pPr>
        <w:rPr>
          <w:b/>
          <w:bCs/>
          <w:u w:val="single"/>
        </w:rPr>
      </w:pPr>
      <w:r>
        <w:rPr>
          <w:b/>
          <w:bCs/>
          <w:u w:val="single"/>
        </w:rPr>
        <w:t>Cartesian Joins:</w:t>
      </w:r>
    </w:p>
    <w:p w:rsidR="007A6686" w:rsidRDefault="007A6686" w:rsidP="007A6686">
      <w:r>
        <w:t xml:space="preserve">Q: </w:t>
      </w:r>
      <w:r w:rsidRPr="007A6686">
        <w:t>What will be the number of rows in the output of the following query</w:t>
      </w:r>
      <w:r>
        <w:t>?</w:t>
      </w:r>
    </w:p>
    <w:p w:rsidR="007A6686" w:rsidRDefault="007A6686" w:rsidP="007A6686">
      <w:r>
        <w:t>A: 35</w:t>
      </w:r>
    </w:p>
    <w:p w:rsidR="007A6686" w:rsidRDefault="007A6686" w:rsidP="007A6686">
      <w:r>
        <w:t>Q:</w:t>
      </w:r>
      <w:r w:rsidRPr="007A6686">
        <w:t xml:space="preserve"> </w:t>
      </w:r>
      <w:r w:rsidRPr="007A6686">
        <w:t xml:space="preserve">What will the query </w:t>
      </w:r>
      <w:r w:rsidRPr="007A6686">
        <w:rPr>
          <w:rFonts w:ascii="Courier New" w:hAnsi="Courier New" w:cs="Courier New"/>
          <w:sz w:val="20"/>
          <w:szCs w:val="20"/>
        </w:rPr>
        <w:t xml:space="preserve">SELECT * FROM </w:t>
      </w:r>
      <w:proofErr w:type="spellStart"/>
      <w:r w:rsidRPr="007A6686">
        <w:rPr>
          <w:rFonts w:ascii="Courier New" w:hAnsi="Courier New" w:cs="Courier New"/>
          <w:sz w:val="20"/>
          <w:szCs w:val="20"/>
        </w:rPr>
        <w:t>table_one</w:t>
      </w:r>
      <w:proofErr w:type="spellEnd"/>
      <w:r w:rsidRPr="007A6686">
        <w:rPr>
          <w:rFonts w:ascii="Courier New" w:hAnsi="Courier New" w:cs="Courier New"/>
          <w:sz w:val="20"/>
          <w:szCs w:val="20"/>
        </w:rPr>
        <w:t xml:space="preserve">, </w:t>
      </w:r>
      <w:proofErr w:type="spellStart"/>
      <w:r w:rsidRPr="007A6686">
        <w:rPr>
          <w:rFonts w:ascii="Courier New" w:hAnsi="Courier New" w:cs="Courier New"/>
          <w:sz w:val="20"/>
          <w:szCs w:val="20"/>
        </w:rPr>
        <w:t>table_two</w:t>
      </w:r>
      <w:proofErr w:type="spellEnd"/>
      <w:r w:rsidRPr="007A6686">
        <w:rPr>
          <w:rFonts w:ascii="Courier New" w:hAnsi="Courier New" w:cs="Courier New"/>
          <w:sz w:val="20"/>
          <w:szCs w:val="20"/>
        </w:rPr>
        <w:t>;</w:t>
      </w:r>
      <w:r w:rsidRPr="007A6686">
        <w:t xml:space="preserve"> look like</w:t>
      </w:r>
      <w:r>
        <w:t>?</w:t>
      </w:r>
    </w:p>
    <w:p w:rsidR="007A6686" w:rsidRDefault="007A6686" w:rsidP="007A6686">
      <w:r>
        <w:t xml:space="preserve">A:  </w:t>
      </w:r>
    </w:p>
    <w:p w:rsidR="007A6686" w:rsidRDefault="007A6686" w:rsidP="007A6686">
      <w:r>
        <w:t>id</w:t>
      </w:r>
    </w:p>
    <w:p w:rsidR="007A6686" w:rsidRDefault="007A6686" w:rsidP="007A6686">
      <w:r>
        <w:t>1</w:t>
      </w:r>
    </w:p>
    <w:p w:rsidR="007A6686" w:rsidRDefault="007A6686" w:rsidP="007A6686">
      <w:r>
        <w:t>2</w:t>
      </w:r>
    </w:p>
    <w:p w:rsidR="007A6686" w:rsidRDefault="007A6686" w:rsidP="007A6686">
      <w:r>
        <w:t>3</w:t>
      </w:r>
    </w:p>
    <w:p w:rsidR="007A6686" w:rsidRDefault="007A6686" w:rsidP="007A6686">
      <w:r>
        <w:t>4</w:t>
      </w:r>
    </w:p>
    <w:p w:rsidR="007A6686" w:rsidRDefault="007A6686" w:rsidP="007A6686">
      <w:r>
        <w:t>10</w:t>
      </w:r>
    </w:p>
    <w:p w:rsidR="007A6686" w:rsidRDefault="007A6686" w:rsidP="007A6686">
      <w:r>
        <w:t>11</w:t>
      </w:r>
    </w:p>
    <w:p w:rsidR="007A6686" w:rsidRPr="007A6686" w:rsidRDefault="007A6686" w:rsidP="007A6686">
      <w:r>
        <w:t>12</w:t>
      </w:r>
    </w:p>
    <w:p w:rsidR="007A6686" w:rsidRDefault="007A6686" w:rsidP="007A6686"/>
    <w:p w:rsidR="007A6686" w:rsidRDefault="007A6686" w:rsidP="007A6686">
      <w:pPr>
        <w:rPr>
          <w:b/>
          <w:bCs/>
          <w:u w:val="single"/>
        </w:rPr>
      </w:pPr>
      <w:r>
        <w:rPr>
          <w:b/>
          <w:bCs/>
          <w:u w:val="single"/>
        </w:rPr>
        <w:t>Foreign Keys:</w:t>
      </w:r>
    </w:p>
    <w:p w:rsidR="007A6686" w:rsidRDefault="007A6686" w:rsidP="007A6686">
      <w:r>
        <w:t xml:space="preserve">Q: </w:t>
      </w:r>
      <w:r w:rsidRPr="007A6686">
        <w:t xml:space="preserve">Based on the above, reconstruct the table schema for </w:t>
      </w:r>
      <w:r w:rsidRPr="007A6686">
        <w:rPr>
          <w:rFonts w:ascii="Courier New" w:hAnsi="Courier New" w:cs="Courier New"/>
          <w:sz w:val="20"/>
          <w:szCs w:val="20"/>
        </w:rPr>
        <w:t>employees</w:t>
      </w:r>
      <w:r w:rsidRPr="007A6686">
        <w:t xml:space="preserve"> and </w:t>
      </w:r>
      <w:r w:rsidRPr="007A6686">
        <w:rPr>
          <w:rFonts w:ascii="Courier New" w:hAnsi="Courier New" w:cs="Courier New"/>
          <w:sz w:val="20"/>
          <w:szCs w:val="20"/>
        </w:rPr>
        <w:t>departments</w:t>
      </w:r>
      <w:r w:rsidRPr="007A6686">
        <w:t xml:space="preserve"> tables.</w:t>
      </w:r>
    </w:p>
    <w:p w:rsidR="007A6686" w:rsidRDefault="007A6686" w:rsidP="007A6686">
      <w:r>
        <w:t xml:space="preserve">A: </w:t>
      </w:r>
    </w:p>
    <w:p w:rsidR="007A6686" w:rsidRDefault="007A6686" w:rsidP="007A6686">
      <w:r>
        <w:t>SELECT</w:t>
      </w:r>
    </w:p>
    <w:p w:rsidR="007A6686" w:rsidRDefault="007A6686" w:rsidP="007A6686">
      <w:r>
        <w:t>*</w:t>
      </w:r>
    </w:p>
    <w:p w:rsidR="007A6686" w:rsidRDefault="007A6686" w:rsidP="007A6686">
      <w:r>
        <w:t>FROM</w:t>
      </w:r>
    </w:p>
    <w:p w:rsidR="007A6686" w:rsidRDefault="007A6686" w:rsidP="007A6686">
      <w:r>
        <w:t>employees e</w:t>
      </w:r>
    </w:p>
    <w:p w:rsidR="007A6686" w:rsidRDefault="007A6686" w:rsidP="007A6686">
      <w:r>
        <w:t>INNER JOIN departments d</w:t>
      </w:r>
    </w:p>
    <w:p w:rsidR="007A6686" w:rsidRDefault="007A6686" w:rsidP="007A6686">
      <w:r>
        <w:t xml:space="preserve">ON </w:t>
      </w:r>
      <w:proofErr w:type="spellStart"/>
      <w:r>
        <w:t>e.department_id</w:t>
      </w:r>
      <w:proofErr w:type="spellEnd"/>
      <w:r>
        <w:t xml:space="preserve"> = d.id</w:t>
      </w:r>
    </w:p>
    <w:p w:rsidR="007A6686" w:rsidRDefault="007A6686" w:rsidP="007A6686">
      <w:r>
        <w:t xml:space="preserve">WHERE </w:t>
      </w:r>
      <w:proofErr w:type="spellStart"/>
      <w:r>
        <w:t>e.department_id</w:t>
      </w:r>
      <w:proofErr w:type="spellEnd"/>
      <w:r>
        <w:t xml:space="preserve"> = 45</w:t>
      </w:r>
    </w:p>
    <w:p w:rsidR="007A6686" w:rsidRDefault="007A6686" w:rsidP="007A6686">
      <w:r>
        <w:t>;</w:t>
      </w:r>
    </w:p>
    <w:p w:rsidR="007A6686" w:rsidRDefault="007A6686" w:rsidP="007A6686"/>
    <w:p w:rsidR="007A6686" w:rsidRDefault="007A6686" w:rsidP="007A6686">
      <w:pPr>
        <w:rPr>
          <w:b/>
          <w:bCs/>
          <w:u w:val="single"/>
        </w:rPr>
      </w:pPr>
      <w:r>
        <w:rPr>
          <w:b/>
          <w:bCs/>
          <w:u w:val="single"/>
        </w:rPr>
        <w:t>Acid:</w:t>
      </w:r>
    </w:p>
    <w:p w:rsidR="007A6686" w:rsidRPr="007A6686" w:rsidRDefault="007A6686" w:rsidP="007A6686">
      <w:r w:rsidRPr="007A6686">
        <w:t xml:space="preserve">Q: </w:t>
      </w:r>
      <w:r w:rsidRPr="007A6686">
        <w:t>What are the ACID properties of SQL transactions? If possible, explain each property with an illustration of an example.</w:t>
      </w:r>
    </w:p>
    <w:p w:rsidR="007A6686" w:rsidRPr="007A6686" w:rsidRDefault="007A6686" w:rsidP="007A6686">
      <w:hyperlink r:id="rId4" w:history="1">
        <w:r w:rsidRPr="007A6686">
          <w:rPr>
            <w:rStyle w:val="Hyperlink"/>
          </w:rPr>
          <w:t>https://www.ibm.com/support/knowledgecenter/SSGMCP_5.4.0/product-overview/acid.html</w:t>
        </w:r>
      </w:hyperlink>
    </w:p>
    <w:p w:rsidR="007A6686" w:rsidRPr="007A6686" w:rsidRDefault="007A6686" w:rsidP="007A6686">
      <w:pPr>
        <w:pStyle w:val="shortdesc"/>
        <w:shd w:val="clear" w:color="auto" w:fill="FFFFFF"/>
        <w:spacing w:before="0" w:beforeAutospacing="0" w:after="0" w:afterAutospacing="0"/>
        <w:textAlignment w:val="baseline"/>
        <w:rPr>
          <w:color w:val="323232"/>
        </w:rPr>
      </w:pPr>
      <w:r w:rsidRPr="007A6686">
        <w:t>“</w:t>
      </w:r>
      <w:r w:rsidRPr="007A6686">
        <w:rPr>
          <w:color w:val="323232"/>
        </w:rPr>
        <w:t>In the context of transaction processing, the acronym </w:t>
      </w:r>
      <w:r w:rsidRPr="007A6686">
        <w:rPr>
          <w:rStyle w:val="HTMLDefinition"/>
          <w:color w:val="323232"/>
          <w:bdr w:val="none" w:sz="0" w:space="0" w:color="auto" w:frame="1"/>
        </w:rPr>
        <w:t>ACID</w:t>
      </w:r>
      <w:r w:rsidRPr="007A6686">
        <w:rPr>
          <w:color w:val="323232"/>
        </w:rPr>
        <w:t> refers to the four key properties of a transaction: atomicity, consistency, isolation, and durability.</w:t>
      </w:r>
    </w:p>
    <w:p w:rsidR="007A6686" w:rsidRPr="007A6686" w:rsidRDefault="007A6686" w:rsidP="007A6686">
      <w:pPr>
        <w:shd w:val="clear" w:color="auto" w:fill="FFFFFF"/>
        <w:textAlignment w:val="baseline"/>
        <w:rPr>
          <w:color w:val="323232"/>
          <w:u w:val="single"/>
        </w:rPr>
      </w:pPr>
      <w:r w:rsidRPr="007A6686">
        <w:rPr>
          <w:color w:val="323232"/>
          <w:u w:val="single"/>
        </w:rPr>
        <w:t>Atomicity</w:t>
      </w:r>
    </w:p>
    <w:p w:rsidR="007A6686" w:rsidRPr="007A6686" w:rsidRDefault="007A6686" w:rsidP="007A6686">
      <w:pPr>
        <w:shd w:val="clear" w:color="auto" w:fill="FFFFFF"/>
        <w:ind w:left="720"/>
        <w:textAlignment w:val="baseline"/>
        <w:rPr>
          <w:color w:val="323232"/>
        </w:rPr>
      </w:pPr>
      <w:r w:rsidRPr="007A6686">
        <w:rPr>
          <w:color w:val="323232"/>
        </w:rPr>
        <w:t>All changes to data are performed as if they are a single operation. That is, all the changes are performed, or none of them are.</w:t>
      </w:r>
    </w:p>
    <w:p w:rsidR="007A6686" w:rsidRPr="007A6686" w:rsidRDefault="007A6686" w:rsidP="007A6686">
      <w:pPr>
        <w:shd w:val="clear" w:color="auto" w:fill="FFFFFF"/>
        <w:ind w:left="720"/>
        <w:textAlignment w:val="baseline"/>
        <w:rPr>
          <w:color w:val="323232"/>
        </w:rPr>
      </w:pPr>
      <w:r w:rsidRPr="007A6686">
        <w:rPr>
          <w:color w:val="323232"/>
        </w:rPr>
        <w:t>For example, in an application that transfers funds from one account to another, the atomicity property ensures that, if a debit is made successfully from one account, the corresponding credit is made to the other account.</w:t>
      </w:r>
    </w:p>
    <w:p w:rsidR="007A6686" w:rsidRPr="007A6686" w:rsidRDefault="007A6686" w:rsidP="007A6686">
      <w:pPr>
        <w:shd w:val="clear" w:color="auto" w:fill="FFFFFF"/>
        <w:textAlignment w:val="baseline"/>
        <w:rPr>
          <w:color w:val="323232"/>
          <w:u w:val="single"/>
        </w:rPr>
      </w:pPr>
      <w:r w:rsidRPr="007A6686">
        <w:rPr>
          <w:color w:val="323232"/>
          <w:u w:val="single"/>
        </w:rPr>
        <w:t>Consistency</w:t>
      </w:r>
    </w:p>
    <w:p w:rsidR="007A6686" w:rsidRPr="007A6686" w:rsidRDefault="007A6686" w:rsidP="007A6686">
      <w:pPr>
        <w:shd w:val="clear" w:color="auto" w:fill="FFFFFF"/>
        <w:ind w:left="720"/>
        <w:textAlignment w:val="baseline"/>
        <w:rPr>
          <w:color w:val="323232"/>
        </w:rPr>
      </w:pPr>
      <w:r w:rsidRPr="007A6686">
        <w:rPr>
          <w:color w:val="323232"/>
        </w:rPr>
        <w:t>Data is in a consistent state when a transaction starts and when it ends.</w:t>
      </w:r>
    </w:p>
    <w:p w:rsidR="007A6686" w:rsidRPr="007A6686" w:rsidRDefault="007A6686" w:rsidP="007A6686">
      <w:pPr>
        <w:shd w:val="clear" w:color="auto" w:fill="FFFFFF"/>
        <w:ind w:left="720"/>
        <w:textAlignment w:val="baseline"/>
        <w:rPr>
          <w:color w:val="323232"/>
        </w:rPr>
      </w:pPr>
      <w:r w:rsidRPr="007A6686">
        <w:rPr>
          <w:color w:val="323232"/>
        </w:rPr>
        <w:t>For example, in an application that transfers funds from one account to another, the consistency property ensures that the total value of funds in both the accounts is the same at the start and end of each transaction.</w:t>
      </w:r>
    </w:p>
    <w:p w:rsidR="007A6686" w:rsidRPr="007A6686" w:rsidRDefault="007A6686" w:rsidP="007A6686">
      <w:pPr>
        <w:shd w:val="clear" w:color="auto" w:fill="FFFFFF"/>
        <w:textAlignment w:val="baseline"/>
        <w:rPr>
          <w:color w:val="323232"/>
          <w:u w:val="single"/>
        </w:rPr>
      </w:pPr>
      <w:r w:rsidRPr="007A6686">
        <w:rPr>
          <w:color w:val="323232"/>
          <w:u w:val="single"/>
        </w:rPr>
        <w:t>Isolation</w:t>
      </w:r>
    </w:p>
    <w:p w:rsidR="007A6686" w:rsidRPr="007A6686" w:rsidRDefault="007A6686" w:rsidP="007A6686">
      <w:pPr>
        <w:shd w:val="clear" w:color="auto" w:fill="FFFFFF"/>
        <w:ind w:left="720"/>
        <w:textAlignment w:val="baseline"/>
        <w:rPr>
          <w:color w:val="323232"/>
        </w:rPr>
      </w:pPr>
      <w:r w:rsidRPr="007A6686">
        <w:rPr>
          <w:color w:val="323232"/>
        </w:rPr>
        <w:t>The intermediate state of a transaction is invisible to other transactions. As a result, transactions that run concurrently appear to be serialized.</w:t>
      </w:r>
    </w:p>
    <w:p w:rsidR="007A6686" w:rsidRPr="007A6686" w:rsidRDefault="007A6686" w:rsidP="007A6686">
      <w:pPr>
        <w:shd w:val="clear" w:color="auto" w:fill="FFFFFF"/>
        <w:ind w:left="720"/>
        <w:textAlignment w:val="baseline"/>
        <w:rPr>
          <w:color w:val="323232"/>
        </w:rPr>
      </w:pPr>
      <w:r w:rsidRPr="007A6686">
        <w:rPr>
          <w:color w:val="323232"/>
        </w:rPr>
        <w:lastRenderedPageBreak/>
        <w:t>For example, in an application that transfers funds from one account to another, the isolation property ensures that another transaction sees the transferred funds in one account or the other, but not in both, nor in neither.</w:t>
      </w:r>
    </w:p>
    <w:p w:rsidR="007A6686" w:rsidRPr="007A6686" w:rsidRDefault="007A6686" w:rsidP="007A6686">
      <w:pPr>
        <w:shd w:val="clear" w:color="auto" w:fill="FFFFFF"/>
        <w:textAlignment w:val="baseline"/>
        <w:rPr>
          <w:color w:val="323232"/>
          <w:u w:val="single"/>
        </w:rPr>
      </w:pPr>
      <w:r w:rsidRPr="007A6686">
        <w:rPr>
          <w:color w:val="323232"/>
          <w:u w:val="single"/>
        </w:rPr>
        <w:t>Durability</w:t>
      </w:r>
    </w:p>
    <w:p w:rsidR="007A6686" w:rsidRPr="007A6686" w:rsidRDefault="007A6686" w:rsidP="007A6686">
      <w:pPr>
        <w:shd w:val="clear" w:color="auto" w:fill="FFFFFF"/>
        <w:ind w:left="720"/>
        <w:textAlignment w:val="baseline"/>
        <w:rPr>
          <w:color w:val="323232"/>
        </w:rPr>
      </w:pPr>
      <w:r w:rsidRPr="007A6686">
        <w:rPr>
          <w:color w:val="323232"/>
        </w:rPr>
        <w:t>After a transaction successfully completes, changes to data persist and are not undone, even in the event of a system failure.</w:t>
      </w:r>
    </w:p>
    <w:p w:rsidR="007A6686" w:rsidRDefault="007A6686" w:rsidP="007A6686">
      <w:pPr>
        <w:shd w:val="clear" w:color="auto" w:fill="FFFFFF"/>
        <w:ind w:left="720"/>
        <w:textAlignment w:val="baseline"/>
        <w:rPr>
          <w:color w:val="323232"/>
        </w:rPr>
      </w:pPr>
      <w:r w:rsidRPr="007A6686">
        <w:rPr>
          <w:color w:val="323232"/>
        </w:rPr>
        <w:t>For example, in an application that transfers funds from one account to another, the durability property ensures that the changes made to each account will not be reversed.</w:t>
      </w:r>
      <w:r w:rsidRPr="007A6686">
        <w:rPr>
          <w:color w:val="323232"/>
        </w:rPr>
        <w:t>”</w:t>
      </w:r>
    </w:p>
    <w:p w:rsidR="007A6686" w:rsidRDefault="007A6686" w:rsidP="007A6686">
      <w:pPr>
        <w:shd w:val="clear" w:color="auto" w:fill="FFFFFF"/>
        <w:textAlignment w:val="baseline"/>
        <w:rPr>
          <w:color w:val="323232"/>
        </w:rPr>
      </w:pPr>
    </w:p>
    <w:p w:rsidR="007A6686" w:rsidRPr="007A6686" w:rsidRDefault="007A6686" w:rsidP="007A6686">
      <w:pPr>
        <w:shd w:val="clear" w:color="auto" w:fill="FFFFFF"/>
        <w:textAlignment w:val="baseline"/>
        <w:rPr>
          <w:b/>
          <w:bCs/>
          <w:color w:val="323232"/>
          <w:u w:val="single"/>
        </w:rPr>
      </w:pPr>
      <w:r>
        <w:rPr>
          <w:b/>
          <w:bCs/>
          <w:color w:val="323232"/>
          <w:u w:val="single"/>
        </w:rPr>
        <w:t>Case:</w:t>
      </w:r>
    </w:p>
    <w:p w:rsidR="007A6686" w:rsidRDefault="007A6686" w:rsidP="007A6686">
      <w:r>
        <w:t>Q:</w:t>
      </w:r>
      <w:r w:rsidRPr="007A6686">
        <w:t xml:space="preserve"> </w:t>
      </w:r>
      <w:r>
        <w:t>Change each animal's species to the correct species.</w:t>
      </w:r>
    </w:p>
    <w:p w:rsidR="007A6686" w:rsidRDefault="007A6686" w:rsidP="007A6686">
      <w:r>
        <w:t xml:space="preserve">A: </w:t>
      </w:r>
    </w:p>
    <w:p w:rsidR="007A6686" w:rsidRDefault="007A6686" w:rsidP="007A6686">
      <w:r>
        <w:t>CASE</w:t>
      </w:r>
    </w:p>
    <w:p w:rsidR="007A6686" w:rsidRDefault="007A6686" w:rsidP="007A6686">
      <w:r>
        <w:t>WHEN species = ‘duck’ THEN ‘mouse</w:t>
      </w:r>
    </w:p>
    <w:p w:rsidR="007A6686" w:rsidRDefault="007A6686" w:rsidP="007A6686">
      <w:r>
        <w:t>WHEN species = ‘mouse’ THEN ‘duck</w:t>
      </w:r>
    </w:p>
    <w:p w:rsidR="007A6686" w:rsidRDefault="007A6686" w:rsidP="007A6686">
      <w:r>
        <w:t>END</w:t>
      </w:r>
    </w:p>
    <w:p w:rsidR="007A6686" w:rsidRDefault="007A6686" w:rsidP="007A6686">
      <w:pPr>
        <w:rPr>
          <w:i/>
          <w:iCs/>
        </w:rPr>
      </w:pPr>
    </w:p>
    <w:p w:rsidR="007A6686" w:rsidRPr="007A6686" w:rsidRDefault="007A6686" w:rsidP="007A6686">
      <w:pPr>
        <w:rPr>
          <w:b/>
          <w:bCs/>
          <w:u w:val="single"/>
        </w:rPr>
      </w:pPr>
    </w:p>
    <w:p w:rsidR="007A6686" w:rsidRDefault="00552B14">
      <w:pPr>
        <w:rPr>
          <w:b/>
          <w:bCs/>
          <w:u w:val="single"/>
        </w:rPr>
      </w:pPr>
      <w:r w:rsidRPr="00552B14">
        <w:rPr>
          <w:b/>
          <w:bCs/>
          <w:u w:val="single"/>
        </w:rPr>
        <w:t>Index:</w:t>
      </w:r>
    </w:p>
    <w:p w:rsidR="00552B14" w:rsidRDefault="00552B14">
      <w:r>
        <w:t>Q: Explain an index in SQL.</w:t>
      </w:r>
    </w:p>
    <w:p w:rsidR="00552B14" w:rsidRDefault="00552B14">
      <w:r>
        <w:t>A: An index is a structure system that is associated with a table and or view that enables the retrieval of data from rows or rows associated with its specific key quickly and efficiently.</w:t>
      </w:r>
    </w:p>
    <w:p w:rsidR="00552B14" w:rsidRDefault="00552B14" w:rsidP="00552B14">
      <w:r>
        <w:t>Q:</w:t>
      </w:r>
      <w:r w:rsidRPr="00552B14">
        <w:t xml:space="preserve"> </w:t>
      </w:r>
      <w:r>
        <w:t>What are the different types of</w:t>
      </w:r>
      <w:r>
        <w:rPr>
          <w:rStyle w:val="HTMLCode"/>
        </w:rPr>
        <w:t xml:space="preserve"> index</w:t>
      </w:r>
      <w:r>
        <w:t>? If possible, explain each type with an illustration.</w:t>
      </w:r>
    </w:p>
    <w:p w:rsidR="00552B14" w:rsidRDefault="00552B14" w:rsidP="00552B14">
      <w:r>
        <w:t>A: Non-clustered, clustered, XML, Column Store, Full-Text, Unique, Filtered, Hash, Spacial</w:t>
      </w:r>
    </w:p>
    <w:p w:rsidR="00552B14" w:rsidRPr="00552B14" w:rsidRDefault="00552B14"/>
    <w:sectPr w:rsidR="00552B14" w:rsidRPr="00552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686"/>
    <w:rsid w:val="00552B14"/>
    <w:rsid w:val="007A6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EA1EBF"/>
  <w15:chartTrackingRefBased/>
  <w15:docId w15:val="{09257DC4-AC9B-A24D-A91A-0B81C05AD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68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A6686"/>
    <w:rPr>
      <w:rFonts w:ascii="Courier New" w:eastAsia="Times New Roman" w:hAnsi="Courier New" w:cs="Courier New"/>
      <w:sz w:val="20"/>
      <w:szCs w:val="20"/>
    </w:rPr>
  </w:style>
  <w:style w:type="character" w:styleId="Hyperlink">
    <w:name w:val="Hyperlink"/>
    <w:basedOn w:val="DefaultParagraphFont"/>
    <w:uiPriority w:val="99"/>
    <w:unhideWhenUsed/>
    <w:rsid w:val="007A6686"/>
    <w:rPr>
      <w:color w:val="0563C1" w:themeColor="hyperlink"/>
      <w:u w:val="single"/>
    </w:rPr>
  </w:style>
  <w:style w:type="character" w:styleId="UnresolvedMention">
    <w:name w:val="Unresolved Mention"/>
    <w:basedOn w:val="DefaultParagraphFont"/>
    <w:uiPriority w:val="99"/>
    <w:semiHidden/>
    <w:unhideWhenUsed/>
    <w:rsid w:val="007A6686"/>
    <w:rPr>
      <w:color w:val="605E5C"/>
      <w:shd w:val="clear" w:color="auto" w:fill="E1DFDD"/>
    </w:rPr>
  </w:style>
  <w:style w:type="paragraph" w:customStyle="1" w:styleId="shortdesc">
    <w:name w:val="shortdesc"/>
    <w:basedOn w:val="Normal"/>
    <w:rsid w:val="007A6686"/>
    <w:pPr>
      <w:spacing w:before="100" w:beforeAutospacing="1" w:after="100" w:afterAutospacing="1"/>
    </w:pPr>
  </w:style>
  <w:style w:type="character" w:styleId="HTMLDefinition">
    <w:name w:val="HTML Definition"/>
    <w:basedOn w:val="DefaultParagraphFont"/>
    <w:uiPriority w:val="99"/>
    <w:semiHidden/>
    <w:unhideWhenUsed/>
    <w:rsid w:val="007A66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644861">
      <w:bodyDiv w:val="1"/>
      <w:marLeft w:val="0"/>
      <w:marRight w:val="0"/>
      <w:marTop w:val="0"/>
      <w:marBottom w:val="0"/>
      <w:divBdr>
        <w:top w:val="none" w:sz="0" w:space="0" w:color="auto"/>
        <w:left w:val="none" w:sz="0" w:space="0" w:color="auto"/>
        <w:bottom w:val="none" w:sz="0" w:space="0" w:color="auto"/>
        <w:right w:val="none" w:sz="0" w:space="0" w:color="auto"/>
      </w:divBdr>
    </w:div>
    <w:div w:id="260264512">
      <w:bodyDiv w:val="1"/>
      <w:marLeft w:val="0"/>
      <w:marRight w:val="0"/>
      <w:marTop w:val="0"/>
      <w:marBottom w:val="0"/>
      <w:divBdr>
        <w:top w:val="none" w:sz="0" w:space="0" w:color="auto"/>
        <w:left w:val="none" w:sz="0" w:space="0" w:color="auto"/>
        <w:bottom w:val="none" w:sz="0" w:space="0" w:color="auto"/>
        <w:right w:val="none" w:sz="0" w:space="0" w:color="auto"/>
      </w:divBdr>
    </w:div>
    <w:div w:id="294802203">
      <w:bodyDiv w:val="1"/>
      <w:marLeft w:val="0"/>
      <w:marRight w:val="0"/>
      <w:marTop w:val="0"/>
      <w:marBottom w:val="0"/>
      <w:divBdr>
        <w:top w:val="none" w:sz="0" w:space="0" w:color="auto"/>
        <w:left w:val="none" w:sz="0" w:space="0" w:color="auto"/>
        <w:bottom w:val="none" w:sz="0" w:space="0" w:color="auto"/>
        <w:right w:val="none" w:sz="0" w:space="0" w:color="auto"/>
      </w:divBdr>
    </w:div>
    <w:div w:id="362752923">
      <w:bodyDiv w:val="1"/>
      <w:marLeft w:val="0"/>
      <w:marRight w:val="0"/>
      <w:marTop w:val="0"/>
      <w:marBottom w:val="0"/>
      <w:divBdr>
        <w:top w:val="none" w:sz="0" w:space="0" w:color="auto"/>
        <w:left w:val="none" w:sz="0" w:space="0" w:color="auto"/>
        <w:bottom w:val="none" w:sz="0" w:space="0" w:color="auto"/>
        <w:right w:val="none" w:sz="0" w:space="0" w:color="auto"/>
      </w:divBdr>
    </w:div>
    <w:div w:id="1058282726">
      <w:bodyDiv w:val="1"/>
      <w:marLeft w:val="0"/>
      <w:marRight w:val="0"/>
      <w:marTop w:val="0"/>
      <w:marBottom w:val="0"/>
      <w:divBdr>
        <w:top w:val="none" w:sz="0" w:space="0" w:color="auto"/>
        <w:left w:val="none" w:sz="0" w:space="0" w:color="auto"/>
        <w:bottom w:val="none" w:sz="0" w:space="0" w:color="auto"/>
        <w:right w:val="none" w:sz="0" w:space="0" w:color="auto"/>
      </w:divBdr>
    </w:div>
    <w:div w:id="1544949703">
      <w:bodyDiv w:val="1"/>
      <w:marLeft w:val="0"/>
      <w:marRight w:val="0"/>
      <w:marTop w:val="0"/>
      <w:marBottom w:val="0"/>
      <w:divBdr>
        <w:top w:val="none" w:sz="0" w:space="0" w:color="auto"/>
        <w:left w:val="none" w:sz="0" w:space="0" w:color="auto"/>
        <w:bottom w:val="none" w:sz="0" w:space="0" w:color="auto"/>
        <w:right w:val="none" w:sz="0" w:space="0" w:color="auto"/>
      </w:divBdr>
    </w:div>
    <w:div w:id="1643921685">
      <w:bodyDiv w:val="1"/>
      <w:marLeft w:val="0"/>
      <w:marRight w:val="0"/>
      <w:marTop w:val="0"/>
      <w:marBottom w:val="0"/>
      <w:divBdr>
        <w:top w:val="none" w:sz="0" w:space="0" w:color="auto"/>
        <w:left w:val="none" w:sz="0" w:space="0" w:color="auto"/>
        <w:bottom w:val="none" w:sz="0" w:space="0" w:color="auto"/>
        <w:right w:val="none" w:sz="0" w:space="0" w:color="auto"/>
      </w:divBdr>
    </w:div>
    <w:div w:id="1686442068">
      <w:bodyDiv w:val="1"/>
      <w:marLeft w:val="0"/>
      <w:marRight w:val="0"/>
      <w:marTop w:val="0"/>
      <w:marBottom w:val="0"/>
      <w:divBdr>
        <w:top w:val="none" w:sz="0" w:space="0" w:color="auto"/>
        <w:left w:val="none" w:sz="0" w:space="0" w:color="auto"/>
        <w:bottom w:val="none" w:sz="0" w:space="0" w:color="auto"/>
        <w:right w:val="none" w:sz="0" w:space="0" w:color="auto"/>
      </w:divBdr>
    </w:div>
    <w:div w:id="198712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bm.com/support/knowledgecenter/SSGMCP_5.4.0/product-overview/aci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Kahn, Adam 2020</dc:creator>
  <cp:keywords/>
  <dc:description/>
  <cp:lastModifiedBy>Kahn, Adam 2020</cp:lastModifiedBy>
  <cp:revision>1</cp:revision>
  <dcterms:created xsi:type="dcterms:W3CDTF">2020-12-10T22:30:00Z</dcterms:created>
  <dcterms:modified xsi:type="dcterms:W3CDTF">2020-12-10T22:47:00Z</dcterms:modified>
</cp:coreProperties>
</file>