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1324011"/>
        <w:docPartObj>
          <w:docPartGallery w:val="Cover Pages"/>
          <w:docPartUnique/>
        </w:docPartObj>
      </w:sdtPr>
      <w:sdtEndPr>
        <w:rPr>
          <w:b/>
        </w:rPr>
      </w:sdtEndPr>
      <w:sdtContent>
        <w:p w14:paraId="6C0F162E" w14:textId="286B3930" w:rsidR="00DC6A2A" w:rsidRDefault="00DC6A2A">
          <w:r>
            <w:rPr>
              <w:noProof/>
            </w:rPr>
            <mc:AlternateContent>
              <mc:Choice Requires="wpg">
                <w:drawing>
                  <wp:anchor distT="0" distB="0" distL="114300" distR="114300" simplePos="0" relativeHeight="251659264" behindDoc="1" locked="0" layoutInCell="1" allowOverlap="1" wp14:anchorId="19D2D8BA" wp14:editId="48D10E5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00ED067" w14:textId="77777777" w:rsidR="00DC6A2A" w:rsidRDefault="00DC6A2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E3FDA5E" w14:textId="4A985B40" w:rsidR="00DC6A2A" w:rsidRDefault="00DC6A2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Omaha Time Exchange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A93A1E" w14:textId="1F0F7E26" w:rsidR="00DC6A2A" w:rsidRDefault="00DC6A2A">
                                      <w:pPr>
                                        <w:pStyle w:val="NoSpacing"/>
                                        <w:spacing w:before="120"/>
                                        <w:rPr>
                                          <w:color w:val="4472C4" w:themeColor="accent1"/>
                                          <w:sz w:val="36"/>
                                          <w:szCs w:val="36"/>
                                        </w:rPr>
                                      </w:pPr>
                                      <w:r>
                                        <w:rPr>
                                          <w:color w:val="4472C4" w:themeColor="accent1"/>
                                          <w:sz w:val="36"/>
                                          <w:szCs w:val="36"/>
                                        </w:rPr>
                                        <w:t>Annual 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D2D8B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00ED067" w14:textId="77777777" w:rsidR="00DC6A2A" w:rsidRDefault="00DC6A2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E3FDA5E" w14:textId="4A985B40" w:rsidR="00DC6A2A" w:rsidRDefault="00DC6A2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Omaha Time Exchange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2A93A1E" w14:textId="1F0F7E26" w:rsidR="00DC6A2A" w:rsidRDefault="00DC6A2A">
                                <w:pPr>
                                  <w:pStyle w:val="NoSpacing"/>
                                  <w:spacing w:before="120"/>
                                  <w:rPr>
                                    <w:color w:val="4472C4" w:themeColor="accent1"/>
                                    <w:sz w:val="36"/>
                                    <w:szCs w:val="36"/>
                                  </w:rPr>
                                </w:pPr>
                                <w:r>
                                  <w:rPr>
                                    <w:color w:val="4472C4" w:themeColor="accent1"/>
                                    <w:sz w:val="36"/>
                                    <w:szCs w:val="36"/>
                                  </w:rPr>
                                  <w:t>Annual Report</w:t>
                                </w:r>
                              </w:p>
                            </w:sdtContent>
                          </w:sdt>
                        </w:txbxContent>
                      </v:textbox>
                    </v:shape>
                    <w10:wrap anchorx="page" anchory="page"/>
                  </v:group>
                </w:pict>
              </mc:Fallback>
            </mc:AlternateContent>
          </w:r>
        </w:p>
        <w:p w14:paraId="6EF43C1A" w14:textId="33AD0258" w:rsidR="00DC6A2A" w:rsidRDefault="00DC6A2A">
          <w:pPr>
            <w:spacing w:after="200" w:line="276" w:lineRule="auto"/>
          </w:pPr>
          <w:bookmarkStart w:id="0" w:name="_GoBack"/>
          <w:bookmarkEnd w:id="0"/>
          <w:r>
            <w:rPr>
              <w:b/>
            </w:rPr>
            <w:br w:type="page"/>
          </w:r>
        </w:p>
      </w:sdtContent>
    </w:sdt>
    <w:p w14:paraId="281301B7" w14:textId="1979C12B" w:rsidR="00210FB4" w:rsidRDefault="004E719B" w:rsidP="004E719B">
      <w:pPr>
        <w:pStyle w:val="Heading1"/>
      </w:pPr>
      <w:r w:rsidRPr="004E719B">
        <w:lastRenderedPageBreak/>
        <w:t>Overview</w:t>
      </w:r>
      <w:bookmarkStart w:id="1" w:name="_|2x+51QE1wkC3zSEcj7R7Pw==|1918|1"/>
      <w:bookmarkEnd w:id="1"/>
    </w:p>
    <w:p w14:paraId="7C359CA6" w14:textId="41492919" w:rsidR="004E719B" w:rsidRDefault="004E719B">
      <w:r w:rsidRPr="004E719B">
        <w:t xml:space="preserve">Omaha Time Exchange is a network of people and organizations in Omaha, Nebraska, who </w:t>
      </w:r>
      <w:r w:rsidR="006C7446">
        <w:t>offer</w:t>
      </w:r>
      <w:r w:rsidR="00845B46">
        <w:t xml:space="preserve"> their</w:t>
      </w:r>
      <w:r w:rsidR="00845B46" w:rsidRPr="004E719B">
        <w:t xml:space="preserve"> </w:t>
      </w:r>
      <w:r w:rsidRPr="004E719B">
        <w:t>services, skills, and time to meet the needs of friends, neighbors, and the larger community. Any resident of the city can join the Omaha Time Exchange and start earning time credits by contributing to other members. After earning time credits, members can spend them or donate them to other members.</w:t>
      </w:r>
      <w:bookmarkStart w:id="2" w:name="_|2x+51QE1wkC3zSEcj7R7Pw==|1918|2"/>
      <w:bookmarkEnd w:id="2"/>
      <w:r w:rsidR="00E44324">
        <w:rPr>
          <w:rStyle w:val="FootnoteReference"/>
        </w:rPr>
        <w:footnoteReference w:id="1"/>
      </w:r>
    </w:p>
    <w:p w14:paraId="2FC77DF9" w14:textId="77777777" w:rsidR="004E719B" w:rsidRDefault="004E719B" w:rsidP="004E719B">
      <w:pPr>
        <w:pStyle w:val="Heading2"/>
      </w:pPr>
      <w:r w:rsidRPr="004E719B">
        <w:t>How the Omaha Time Exchange Works</w:t>
      </w:r>
      <w:bookmarkStart w:id="3" w:name="_|2x+51QE1wkC3zSEcj7R7Pw==|1918|3"/>
      <w:bookmarkEnd w:id="3"/>
    </w:p>
    <w:p w14:paraId="13388211" w14:textId="6BB50714" w:rsidR="004E719B" w:rsidRDefault="004E719B">
      <w:r w:rsidRPr="004E719B">
        <w:t>A member requests or offers a service by posting the request on the community board, part of the Omaha Time Exchange website. If you want to provide a posted service, you earn time credits by performing the service. If you want to receive a service, you spend time credits to purchase the service. The amount of time a service requires equals the number of time credits earned or spent. For example, if you teach a member how to play the piano for one hour, you earn a one-hour time credit. If a member weeds your garden for an hour, you spend a one-hour time credit.</w:t>
      </w:r>
      <w:bookmarkStart w:id="4" w:name="_|2x+51QE1wkC3zSEcj7R7Pw==|1918|4"/>
      <w:bookmarkEnd w:id="4"/>
    </w:p>
    <w:p w14:paraId="79E27A06" w14:textId="77777777" w:rsidR="004E719B" w:rsidRDefault="00E608E6" w:rsidP="00E44324">
      <w:pPr>
        <w:pStyle w:val="Heading2"/>
      </w:pPr>
      <w:r>
        <w:t>Examples of Servic</w:t>
      </w:r>
      <w:r w:rsidR="00CF73C2">
        <w:t>es</w:t>
      </w:r>
      <w:bookmarkStart w:id="5" w:name="_|2x+51QE1wkC3zSEcj7R7Pw==|1918|5"/>
      <w:bookmarkEnd w:id="5"/>
    </w:p>
    <w:p w14:paraId="00702CB3" w14:textId="77777777" w:rsidR="00CF73C2" w:rsidRPr="00CF73C2" w:rsidRDefault="00CF73C2" w:rsidP="00CF73C2">
      <w:pPr>
        <w:pStyle w:val="ListParagraph"/>
        <w:numPr>
          <w:ilvl w:val="0"/>
          <w:numId w:val="1"/>
        </w:numPr>
        <w:contextualSpacing w:val="0"/>
        <w:rPr>
          <w:color w:val="ED7D31" w:themeColor="accent2"/>
        </w:rPr>
      </w:pPr>
      <w:proofErr w:type="gramStart"/>
      <w:r w:rsidRPr="00CF73C2">
        <w:rPr>
          <w:color w:val="ED7D31" w:themeColor="accent2"/>
        </w:rPr>
        <w:t>Child care</w:t>
      </w:r>
      <w:proofErr w:type="gramEnd"/>
      <w:r w:rsidRPr="00CF73C2">
        <w:rPr>
          <w:color w:val="ED7D31" w:themeColor="accent2"/>
        </w:rPr>
        <w:t xml:space="preserve"> </w:t>
      </w:r>
      <w:bookmarkStart w:id="6" w:name="_|2x+51QE1wkC3zSEcj7R7Pw==|1918|6"/>
      <w:bookmarkEnd w:id="6"/>
    </w:p>
    <w:p w14:paraId="6A6F6D85"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Home repair</w:t>
      </w:r>
      <w:bookmarkStart w:id="7" w:name="_|2x+51QE1wkC3zSEcj7R7Pw==|1918|7"/>
      <w:bookmarkEnd w:id="7"/>
    </w:p>
    <w:p w14:paraId="4FC984BF"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Legal assistance</w:t>
      </w:r>
      <w:bookmarkStart w:id="8" w:name="_|2x+51QE1wkC3zSEcj7R7Pw==|1918|8"/>
      <w:bookmarkEnd w:id="8"/>
    </w:p>
    <w:p w14:paraId="00F67B3E"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Medical transportation</w:t>
      </w:r>
      <w:bookmarkStart w:id="9" w:name="_|2x+51QE1wkC3zSEcj7R7Pw==|1918|9"/>
      <w:bookmarkEnd w:id="9"/>
    </w:p>
    <w:p w14:paraId="0AE2A390"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Language lessons</w:t>
      </w:r>
      <w:bookmarkStart w:id="10" w:name="_|2x+51QE1wkC3zSEcj7R7Pw==|1918|10"/>
      <w:bookmarkEnd w:id="10"/>
    </w:p>
    <w:p w14:paraId="33A97AF8"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Respite care</w:t>
      </w:r>
      <w:bookmarkStart w:id="11" w:name="_|2x+51QE1wkC3zSEcj7R7Pw==|1918|11"/>
      <w:bookmarkEnd w:id="11"/>
    </w:p>
    <w:p w14:paraId="07DF4F28" w14:textId="77777777" w:rsidR="00CF73C2" w:rsidRPr="00CF73C2" w:rsidRDefault="00CF73C2" w:rsidP="00CF73C2">
      <w:pPr>
        <w:pStyle w:val="ListParagraph"/>
        <w:numPr>
          <w:ilvl w:val="0"/>
          <w:numId w:val="1"/>
        </w:numPr>
        <w:contextualSpacing w:val="0"/>
        <w:rPr>
          <w:color w:val="ED7D31" w:themeColor="accent2"/>
        </w:rPr>
      </w:pPr>
      <w:r w:rsidRPr="00CF73C2">
        <w:rPr>
          <w:color w:val="ED7D31" w:themeColor="accent2"/>
        </w:rPr>
        <w:t>Tutoring</w:t>
      </w:r>
      <w:bookmarkStart w:id="12" w:name="_|2x+51QE1wkC3zSEcj7R7Pw==|1918|12"/>
      <w:bookmarkEnd w:id="12"/>
    </w:p>
    <w:p w14:paraId="1CEC5F34" w14:textId="77777777" w:rsidR="00CF73C2" w:rsidRDefault="00CF73C2" w:rsidP="00CF73C2">
      <w:pPr>
        <w:pStyle w:val="ListParagraph"/>
        <w:numPr>
          <w:ilvl w:val="0"/>
          <w:numId w:val="1"/>
        </w:numPr>
        <w:contextualSpacing w:val="0"/>
        <w:rPr>
          <w:color w:val="ED7D31" w:themeColor="accent2"/>
        </w:rPr>
      </w:pPr>
      <w:r w:rsidRPr="00CF73C2">
        <w:rPr>
          <w:color w:val="ED7D31" w:themeColor="accent2"/>
        </w:rPr>
        <w:t>Delivery</w:t>
      </w:r>
      <w:bookmarkStart w:id="13" w:name="_|2x+51QE1wkC3zSEcj7R7Pw==|1918|13"/>
      <w:bookmarkEnd w:id="13"/>
    </w:p>
    <w:p w14:paraId="330D096C" w14:textId="77777777" w:rsidR="00CF73C2" w:rsidRPr="00387695" w:rsidRDefault="00CF73C2" w:rsidP="00CF73C2">
      <w:pPr>
        <w:rPr>
          <w:rFonts w:asciiTheme="majorHAnsi" w:hAnsiTheme="majorHAnsi"/>
          <w:color w:val="390F26"/>
          <w:sz w:val="28"/>
          <w:szCs w:val="28"/>
        </w:rPr>
      </w:pPr>
      <w:r>
        <w:br w:type="page"/>
      </w:r>
      <w:bookmarkStart w:id="14" w:name="_|2x+51QE1wkC3zSEcj7R7Pw==|1918|14"/>
      <w:bookmarkEnd w:id="14"/>
    </w:p>
    <w:p w14:paraId="162F46EC" w14:textId="77777777" w:rsidR="00CF73C2" w:rsidRDefault="0074312B" w:rsidP="0074312B">
      <w:pPr>
        <w:pStyle w:val="Heading1"/>
      </w:pPr>
      <w:r>
        <w:lastRenderedPageBreak/>
        <w:t>Special Projects</w:t>
      </w:r>
      <w:bookmarkStart w:id="15" w:name="_|2x+51QE1wkC3zSEcj7R7Pw==|1918|15"/>
      <w:bookmarkEnd w:id="15"/>
    </w:p>
    <w:p w14:paraId="2EC07CED" w14:textId="30CD14F4" w:rsidR="0074312B" w:rsidRDefault="0074312B" w:rsidP="0074312B">
      <w:pPr>
        <w:spacing w:line="276" w:lineRule="auto"/>
      </w:pPr>
      <w:r w:rsidRPr="0074312B">
        <w:t>Omaha Time Exchange participates in special projects for the following local organizations. Time exchanges for these projects are highlighted on the community board.</w:t>
      </w:r>
      <w:bookmarkStart w:id="16" w:name="_|2x+51QE1wkC3zSEcj7R7Pw==|1918|16"/>
      <w:bookmarkEnd w:id="16"/>
      <w:r w:rsidR="00FB3497">
        <w:rPr>
          <w:noProof/>
        </w:rPr>
        <w:drawing>
          <wp:inline distT="0" distB="0" distL="0" distR="0" wp14:anchorId="66F905A9" wp14:editId="7A5B0FC3">
            <wp:extent cx="5486400" cy="3657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985603C" w14:textId="77777777" w:rsidR="0074312B" w:rsidRDefault="0074312B" w:rsidP="0074312B">
      <w:pPr>
        <w:spacing w:line="276" w:lineRule="auto"/>
      </w:pPr>
      <w:bookmarkStart w:id="17" w:name="_|2x+51QE1wkC3zSEcj7R7Pw==|1918|17"/>
      <w:bookmarkEnd w:id="17"/>
    </w:p>
    <w:p w14:paraId="7CC9AE9B" w14:textId="77777777" w:rsidR="0074312B" w:rsidRDefault="0074312B" w:rsidP="0074312B">
      <w:pPr>
        <w:pStyle w:val="Heading2"/>
      </w:pPr>
      <w:r w:rsidRPr="0074312B">
        <w:t>Rest and Restore</w:t>
      </w:r>
      <w:bookmarkStart w:id="18" w:name="_|2x+51QE1wkC3zSEcj7R7Pw==|1918|18"/>
      <w:bookmarkEnd w:id="18"/>
    </w:p>
    <w:p w14:paraId="603C5978" w14:textId="77777777" w:rsidR="0074312B" w:rsidRDefault="0074312B" w:rsidP="0074312B">
      <w:pPr>
        <w:spacing w:after="240" w:line="276" w:lineRule="auto"/>
      </w:pPr>
      <w:r w:rsidRPr="0074312B">
        <w:t>This organization provides basic assistance to people who need a helping hand after an illness, surgery, hospital stay, or accident.</w:t>
      </w:r>
      <w:bookmarkStart w:id="19" w:name="_|2x+51QE1wkC3zSEcj7R7Pw==|1918|19"/>
      <w:bookmarkEnd w:id="19"/>
    </w:p>
    <w:p w14:paraId="06413B12" w14:textId="77777777" w:rsidR="0074312B" w:rsidRDefault="0074312B" w:rsidP="0074312B">
      <w:pPr>
        <w:pStyle w:val="Heading2"/>
      </w:pPr>
      <w:r w:rsidRPr="0074312B">
        <w:t>Open Space Gardens</w:t>
      </w:r>
      <w:bookmarkStart w:id="20" w:name="_|2x+51QE1wkC3zSEcj7R7Pw==|1918|20"/>
      <w:bookmarkEnd w:id="20"/>
    </w:p>
    <w:p w14:paraId="0F83D94A" w14:textId="77777777" w:rsidR="0074312B" w:rsidRDefault="0074312B" w:rsidP="0074312B">
      <w:pPr>
        <w:spacing w:after="240" w:line="276" w:lineRule="auto"/>
      </w:pPr>
      <w:r w:rsidRPr="0074312B">
        <w:t>Founded and run by community members, Open Space Gardens creates vegetable gardens in areas that are otherwise unused, such as vacant lots, terrace areas, backyards, and open spaces.</w:t>
      </w:r>
      <w:bookmarkStart w:id="21" w:name="_|2x+51QE1wkC3zSEcj7R7Pw==|1918|21"/>
      <w:bookmarkEnd w:id="21"/>
    </w:p>
    <w:p w14:paraId="5033A4C1" w14:textId="77777777" w:rsidR="0074312B" w:rsidRDefault="0074312B" w:rsidP="0074312B">
      <w:pPr>
        <w:pStyle w:val="Heading2"/>
      </w:pPr>
      <w:r w:rsidRPr="0074312B">
        <w:t>Neighbor to Neighbor</w:t>
      </w:r>
      <w:bookmarkStart w:id="22" w:name="_|2x+51QE1wkC3zSEcj7R7Pw==|1918|22"/>
      <w:bookmarkEnd w:id="22"/>
    </w:p>
    <w:p w14:paraId="684454C8" w14:textId="77777777" w:rsidR="0074312B" w:rsidRDefault="0074312B" w:rsidP="0074312B">
      <w:pPr>
        <w:spacing w:after="240" w:line="276" w:lineRule="auto"/>
      </w:pPr>
      <w:r w:rsidRPr="0074312B">
        <w:t>This organization forms ad-hoc groups in neighborhoods to help people meet basic needs such as assisting with daily tasks, gaining access to healthy food, providing transportation, and performing regular visits.</w:t>
      </w:r>
      <w:bookmarkStart w:id="23" w:name="_|2x+51QE1wkC3zSEcj7R7Pw==|1918|23"/>
      <w:bookmarkEnd w:id="23"/>
    </w:p>
    <w:p w14:paraId="2075603D" w14:textId="77777777" w:rsidR="0074312B" w:rsidRDefault="0074312B" w:rsidP="0074312B">
      <w:pPr>
        <w:pStyle w:val="Heading1"/>
      </w:pPr>
      <w:r w:rsidRPr="0074312B">
        <w:lastRenderedPageBreak/>
        <w:t>Service Participation</w:t>
      </w:r>
      <w:bookmarkStart w:id="24" w:name="_|2x+51QE1wkC3zSEcj7R7Pw==|1918|24"/>
      <w:bookmarkEnd w:id="24"/>
    </w:p>
    <w:p w14:paraId="42D2EDEE" w14:textId="77777777" w:rsidR="00FB3497" w:rsidRDefault="0074312B" w:rsidP="0074312B">
      <w:pPr>
        <w:spacing w:after="240" w:line="276" w:lineRule="auto"/>
      </w:pPr>
      <w:r w:rsidRPr="0074312B">
        <w:t xml:space="preserve">Members are exchanging time in the following categories of services. The number of participants reflects participation </w:t>
      </w:r>
      <w:r w:rsidR="00AB0DFD">
        <w:t xml:space="preserve">in </w:t>
      </w:r>
      <w:r w:rsidRPr="0074312B">
        <w:t>the past two years.</w:t>
      </w:r>
      <w:bookmarkStart w:id="25" w:name="_|2x+51QE1wkC3zSEcj7R7Pw==|1918|25"/>
      <w:bookmarkEnd w:id="25"/>
      <w:r w:rsidR="00FB3497">
        <w:rPr>
          <w:rStyle w:val="EndnoteReference"/>
        </w:rPr>
        <w:endnoteReference w:id="1"/>
      </w:r>
    </w:p>
    <w:tbl>
      <w:tblPr>
        <w:tblStyle w:val="GridTable5Dark-Accent3"/>
        <w:tblW w:w="0" w:type="auto"/>
        <w:tblLook w:val="04A0" w:firstRow="1" w:lastRow="0" w:firstColumn="1" w:lastColumn="0" w:noHBand="0" w:noVBand="1"/>
      </w:tblPr>
      <w:tblGrid>
        <w:gridCol w:w="3116"/>
        <w:gridCol w:w="3117"/>
        <w:gridCol w:w="3117"/>
      </w:tblGrid>
      <w:tr w:rsidR="00FB3497" w14:paraId="1A5DE72D" w14:textId="77777777" w:rsidTr="00FB3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45E442" w14:textId="3A5D50F7" w:rsidR="00FB3497" w:rsidRDefault="00FB3497" w:rsidP="0074312B">
            <w:pPr>
              <w:spacing w:after="240" w:line="276" w:lineRule="auto"/>
            </w:pPr>
            <w:r>
              <w:t>Service Category</w:t>
            </w:r>
          </w:p>
        </w:tc>
        <w:tc>
          <w:tcPr>
            <w:tcW w:w="3117" w:type="dxa"/>
          </w:tcPr>
          <w:p w14:paraId="5252AD17" w14:textId="7E75CF14" w:rsidR="00FB3497" w:rsidRDefault="00FB3497" w:rsidP="0074312B">
            <w:pPr>
              <w:spacing w:after="240" w:line="276" w:lineRule="auto"/>
              <w:cnfStyle w:val="100000000000" w:firstRow="1" w:lastRow="0" w:firstColumn="0" w:lastColumn="0" w:oddVBand="0" w:evenVBand="0" w:oddHBand="0" w:evenHBand="0" w:firstRowFirstColumn="0" w:firstRowLastColumn="0" w:lastRowFirstColumn="0" w:lastRowLastColumn="0"/>
            </w:pPr>
            <w:r>
              <w:t>2019</w:t>
            </w:r>
          </w:p>
        </w:tc>
        <w:tc>
          <w:tcPr>
            <w:tcW w:w="3117" w:type="dxa"/>
          </w:tcPr>
          <w:p w14:paraId="48C72186" w14:textId="29937680" w:rsidR="00FB3497" w:rsidRDefault="00FB3497" w:rsidP="0074312B">
            <w:pPr>
              <w:spacing w:after="240" w:line="276" w:lineRule="auto"/>
              <w:cnfStyle w:val="100000000000" w:firstRow="1" w:lastRow="0" w:firstColumn="0" w:lastColumn="0" w:oddVBand="0" w:evenVBand="0" w:oddHBand="0" w:evenHBand="0" w:firstRowFirstColumn="0" w:firstRowLastColumn="0" w:lastRowFirstColumn="0" w:lastRowLastColumn="0"/>
            </w:pPr>
            <w:r>
              <w:t>2020</w:t>
            </w:r>
          </w:p>
        </w:tc>
      </w:tr>
      <w:tr w:rsidR="00FB3497" w14:paraId="1B734DE1" w14:textId="77777777" w:rsidTr="00FB3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7A667E" w14:textId="04046325" w:rsidR="00FB3497" w:rsidRDefault="00FB3497" w:rsidP="0074312B">
            <w:pPr>
              <w:spacing w:after="240" w:line="276" w:lineRule="auto"/>
            </w:pPr>
            <w:r>
              <w:t>Education</w:t>
            </w:r>
          </w:p>
        </w:tc>
        <w:tc>
          <w:tcPr>
            <w:tcW w:w="3117" w:type="dxa"/>
          </w:tcPr>
          <w:p w14:paraId="35BAABA4" w14:textId="7944B9D2" w:rsidR="00FB3497" w:rsidRDefault="00FB3497" w:rsidP="0074312B">
            <w:pPr>
              <w:spacing w:after="240" w:line="276" w:lineRule="auto"/>
              <w:cnfStyle w:val="000000100000" w:firstRow="0" w:lastRow="0" w:firstColumn="0" w:lastColumn="0" w:oddVBand="0" w:evenVBand="0" w:oddHBand="1" w:evenHBand="0" w:firstRowFirstColumn="0" w:firstRowLastColumn="0" w:lastRowFirstColumn="0" w:lastRowLastColumn="0"/>
            </w:pPr>
            <w:r>
              <w:t>315</w:t>
            </w:r>
          </w:p>
        </w:tc>
        <w:tc>
          <w:tcPr>
            <w:tcW w:w="3117" w:type="dxa"/>
          </w:tcPr>
          <w:p w14:paraId="55579170" w14:textId="047367F1" w:rsidR="00FB3497" w:rsidRDefault="00FB3497" w:rsidP="0074312B">
            <w:pPr>
              <w:spacing w:after="240" w:line="276" w:lineRule="auto"/>
              <w:cnfStyle w:val="000000100000" w:firstRow="0" w:lastRow="0" w:firstColumn="0" w:lastColumn="0" w:oddVBand="0" w:evenVBand="0" w:oddHBand="1" w:evenHBand="0" w:firstRowFirstColumn="0" w:firstRowLastColumn="0" w:lastRowFirstColumn="0" w:lastRowLastColumn="0"/>
            </w:pPr>
            <w:r>
              <w:t>325</w:t>
            </w:r>
          </w:p>
        </w:tc>
      </w:tr>
      <w:tr w:rsidR="00FB3497" w14:paraId="39050ACC" w14:textId="77777777" w:rsidTr="00FB3497">
        <w:tc>
          <w:tcPr>
            <w:cnfStyle w:val="001000000000" w:firstRow="0" w:lastRow="0" w:firstColumn="1" w:lastColumn="0" w:oddVBand="0" w:evenVBand="0" w:oddHBand="0" w:evenHBand="0" w:firstRowFirstColumn="0" w:firstRowLastColumn="0" w:lastRowFirstColumn="0" w:lastRowLastColumn="0"/>
            <w:tcW w:w="3116" w:type="dxa"/>
          </w:tcPr>
          <w:p w14:paraId="317F8290" w14:textId="40601A1F" w:rsidR="00FB3497" w:rsidRDefault="00FB3497" w:rsidP="0074312B">
            <w:pPr>
              <w:spacing w:after="240" w:line="276" w:lineRule="auto"/>
            </w:pPr>
            <w:r>
              <w:t>Health</w:t>
            </w:r>
          </w:p>
        </w:tc>
        <w:tc>
          <w:tcPr>
            <w:tcW w:w="3117" w:type="dxa"/>
          </w:tcPr>
          <w:p w14:paraId="03C08F48" w14:textId="7A71C421" w:rsidR="00FB3497" w:rsidRDefault="00FB3497" w:rsidP="0074312B">
            <w:pPr>
              <w:spacing w:after="240" w:line="276" w:lineRule="auto"/>
              <w:cnfStyle w:val="000000000000" w:firstRow="0" w:lastRow="0" w:firstColumn="0" w:lastColumn="0" w:oddVBand="0" w:evenVBand="0" w:oddHBand="0" w:evenHBand="0" w:firstRowFirstColumn="0" w:firstRowLastColumn="0" w:lastRowFirstColumn="0" w:lastRowLastColumn="0"/>
            </w:pPr>
            <w:r>
              <w:t>300</w:t>
            </w:r>
          </w:p>
        </w:tc>
        <w:tc>
          <w:tcPr>
            <w:tcW w:w="3117" w:type="dxa"/>
          </w:tcPr>
          <w:p w14:paraId="0D455CC8" w14:textId="0CE5C2D0" w:rsidR="00FB3497" w:rsidRDefault="00FB3497" w:rsidP="0074312B">
            <w:pPr>
              <w:spacing w:after="240" w:line="276" w:lineRule="auto"/>
              <w:cnfStyle w:val="000000000000" w:firstRow="0" w:lastRow="0" w:firstColumn="0" w:lastColumn="0" w:oddVBand="0" w:evenVBand="0" w:oddHBand="0" w:evenHBand="0" w:firstRowFirstColumn="0" w:firstRowLastColumn="0" w:lastRowFirstColumn="0" w:lastRowLastColumn="0"/>
            </w:pPr>
            <w:r>
              <w:t>350</w:t>
            </w:r>
          </w:p>
        </w:tc>
      </w:tr>
      <w:tr w:rsidR="00FB3497" w14:paraId="639CF0C6" w14:textId="77777777" w:rsidTr="00FB3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7BF90C" w14:textId="491C825E" w:rsidR="00FB3497" w:rsidRDefault="00FB3497" w:rsidP="0074312B">
            <w:pPr>
              <w:spacing w:after="240" w:line="276" w:lineRule="auto"/>
            </w:pPr>
            <w:r>
              <w:t>Transportation</w:t>
            </w:r>
          </w:p>
        </w:tc>
        <w:tc>
          <w:tcPr>
            <w:tcW w:w="3117" w:type="dxa"/>
          </w:tcPr>
          <w:p w14:paraId="5C0DF908" w14:textId="4AC12837" w:rsidR="00FB3497" w:rsidRDefault="00FB3497" w:rsidP="0074312B">
            <w:pPr>
              <w:spacing w:after="240" w:line="276" w:lineRule="auto"/>
              <w:cnfStyle w:val="000000100000" w:firstRow="0" w:lastRow="0" w:firstColumn="0" w:lastColumn="0" w:oddVBand="0" w:evenVBand="0" w:oddHBand="1" w:evenHBand="0" w:firstRowFirstColumn="0" w:firstRowLastColumn="0" w:lastRowFirstColumn="0" w:lastRowLastColumn="0"/>
            </w:pPr>
            <w:r>
              <w:t>505</w:t>
            </w:r>
          </w:p>
        </w:tc>
        <w:tc>
          <w:tcPr>
            <w:tcW w:w="3117" w:type="dxa"/>
          </w:tcPr>
          <w:p w14:paraId="1F17802D" w14:textId="5834F3FD" w:rsidR="00FB3497" w:rsidRDefault="00FB3497" w:rsidP="0074312B">
            <w:pPr>
              <w:spacing w:after="240" w:line="276" w:lineRule="auto"/>
              <w:cnfStyle w:val="000000100000" w:firstRow="0" w:lastRow="0" w:firstColumn="0" w:lastColumn="0" w:oddVBand="0" w:evenVBand="0" w:oddHBand="1" w:evenHBand="0" w:firstRowFirstColumn="0" w:firstRowLastColumn="0" w:lastRowFirstColumn="0" w:lastRowLastColumn="0"/>
            </w:pPr>
            <w:r>
              <w:t>480</w:t>
            </w:r>
          </w:p>
        </w:tc>
      </w:tr>
      <w:tr w:rsidR="00FB3497" w14:paraId="27D5D9F2" w14:textId="77777777" w:rsidTr="00FB3497">
        <w:tc>
          <w:tcPr>
            <w:cnfStyle w:val="001000000000" w:firstRow="0" w:lastRow="0" w:firstColumn="1" w:lastColumn="0" w:oddVBand="0" w:evenVBand="0" w:oddHBand="0" w:evenHBand="0" w:firstRowFirstColumn="0" w:firstRowLastColumn="0" w:lastRowFirstColumn="0" w:lastRowLastColumn="0"/>
            <w:tcW w:w="3116" w:type="dxa"/>
          </w:tcPr>
          <w:p w14:paraId="16CDBF23" w14:textId="76A7FA93" w:rsidR="00FB3497" w:rsidRDefault="00FB3497" w:rsidP="0074312B">
            <w:pPr>
              <w:spacing w:after="240" w:line="276" w:lineRule="auto"/>
            </w:pPr>
            <w:r>
              <w:t>Total</w:t>
            </w:r>
          </w:p>
        </w:tc>
        <w:tc>
          <w:tcPr>
            <w:tcW w:w="3117" w:type="dxa"/>
          </w:tcPr>
          <w:p w14:paraId="6E2A6812" w14:textId="257E973B" w:rsidR="00FB3497" w:rsidRDefault="00FB3497" w:rsidP="0074312B">
            <w:pPr>
              <w:spacing w:after="240" w:line="276" w:lineRule="auto"/>
              <w:cnfStyle w:val="000000000000" w:firstRow="0" w:lastRow="0" w:firstColumn="0" w:lastColumn="0" w:oddVBand="0" w:evenVBand="0" w:oddHBand="0" w:evenHBand="0" w:firstRowFirstColumn="0" w:firstRowLastColumn="0" w:lastRowFirstColumn="0" w:lastRowLastColumn="0"/>
            </w:pPr>
            <w:r>
              <w:t>1,120</w:t>
            </w:r>
          </w:p>
        </w:tc>
        <w:tc>
          <w:tcPr>
            <w:tcW w:w="3117" w:type="dxa"/>
          </w:tcPr>
          <w:p w14:paraId="6BE769E1" w14:textId="140FB84F" w:rsidR="00FB3497" w:rsidRDefault="00FB3497" w:rsidP="0074312B">
            <w:pPr>
              <w:spacing w:after="240" w:line="276" w:lineRule="auto"/>
              <w:cnfStyle w:val="000000000000" w:firstRow="0" w:lastRow="0" w:firstColumn="0" w:lastColumn="0" w:oddVBand="0" w:evenVBand="0" w:oddHBand="0" w:evenHBand="0" w:firstRowFirstColumn="0" w:firstRowLastColumn="0" w:lastRowFirstColumn="0" w:lastRowLastColumn="0"/>
            </w:pPr>
            <w:r>
              <w:t>1,155</w:t>
            </w:r>
          </w:p>
        </w:tc>
      </w:tr>
    </w:tbl>
    <w:p w14:paraId="51F9C6FF" w14:textId="6C66E7AE" w:rsidR="0074312B" w:rsidRDefault="0074312B" w:rsidP="0074312B">
      <w:pPr>
        <w:spacing w:after="240" w:line="276" w:lineRule="auto"/>
      </w:pPr>
    </w:p>
    <w:p w14:paraId="7653FF5F" w14:textId="77777777" w:rsidR="0074312B" w:rsidRDefault="0074312B" w:rsidP="0074312B">
      <w:pPr>
        <w:spacing w:after="240" w:line="276" w:lineRule="auto"/>
      </w:pPr>
      <w:bookmarkStart w:id="26" w:name="_|2x+51QE1wkC3zSEcj7R7Pw==|1918|26"/>
      <w:bookmarkEnd w:id="26"/>
    </w:p>
    <w:p w14:paraId="0F78DE72" w14:textId="77777777" w:rsidR="0074312B" w:rsidRDefault="0074312B" w:rsidP="0074312B">
      <w:pPr>
        <w:pStyle w:val="Heading1"/>
      </w:pPr>
      <w:r w:rsidRPr="0074312B">
        <w:t>Sources of Funding</w:t>
      </w:r>
      <w:bookmarkStart w:id="27" w:name="_|2x+51QE1wkC3zSEcj7R7Pw==|1918|27"/>
      <w:bookmarkEnd w:id="27"/>
    </w:p>
    <w:p w14:paraId="2AFA6381" w14:textId="77777777" w:rsidR="009A1FF0" w:rsidRPr="00CF73C2" w:rsidRDefault="0074312B" w:rsidP="00801715">
      <w:pPr>
        <w:spacing w:after="240"/>
      </w:pPr>
      <w:r w:rsidRPr="0074312B">
        <w:t>Omaha Time Exchange receives funding from other organizations and individual members to support its professional staff, maintain the website, and other ongoing efforts. The following table summarizes current funding and compares percentages to the previous year.</w:t>
      </w:r>
      <w:bookmarkStart w:id="28" w:name="_|2x+51QE1wkC3zSEcj7R7Pw==|1918|28"/>
      <w:bookmarkEnd w:id="28"/>
    </w:p>
    <w:tbl>
      <w:tblPr>
        <w:tblStyle w:val="GridTable5Dark-Accent3"/>
        <w:tblW w:w="9640" w:type="dxa"/>
        <w:tblLook w:val="0420" w:firstRow="1" w:lastRow="0" w:firstColumn="0" w:lastColumn="0" w:noHBand="0" w:noVBand="1"/>
      </w:tblPr>
      <w:tblGrid>
        <w:gridCol w:w="3917"/>
        <w:gridCol w:w="2606"/>
        <w:gridCol w:w="3117"/>
      </w:tblGrid>
      <w:tr w:rsidR="00FB3497" w:rsidRPr="00801715" w14:paraId="0E31D6CA" w14:textId="77777777" w:rsidTr="00801715">
        <w:trPr>
          <w:cnfStyle w:val="100000000000" w:firstRow="1" w:lastRow="0" w:firstColumn="0" w:lastColumn="0" w:oddVBand="0" w:evenVBand="0" w:oddHBand="0" w:evenHBand="0" w:firstRowFirstColumn="0" w:firstRowLastColumn="0" w:lastRowFirstColumn="0" w:lastRowLastColumn="0"/>
        </w:trPr>
        <w:tc>
          <w:tcPr>
            <w:tcW w:w="3917" w:type="dxa"/>
          </w:tcPr>
          <w:p w14:paraId="263D87C9" w14:textId="77777777" w:rsidR="00FB3497" w:rsidRPr="00801715" w:rsidRDefault="00FB3497" w:rsidP="009A1FF0">
            <w:pPr>
              <w:pStyle w:val="Heading2"/>
              <w:outlineLvl w:val="1"/>
              <w:rPr>
                <w:rFonts w:asciiTheme="minorHAnsi" w:hAnsiTheme="minorHAnsi"/>
                <w:b/>
                <w:color w:val="FFFFFF" w:themeColor="background1"/>
                <w:sz w:val="24"/>
                <w:szCs w:val="24"/>
              </w:rPr>
            </w:pPr>
            <w:r w:rsidRPr="00801715">
              <w:rPr>
                <w:rFonts w:asciiTheme="minorHAnsi" w:hAnsiTheme="minorHAnsi"/>
                <w:b/>
                <w:color w:val="FFFFFF" w:themeColor="background1"/>
                <w:sz w:val="24"/>
                <w:szCs w:val="24"/>
              </w:rPr>
              <w:t>Funding Source</w:t>
            </w:r>
          </w:p>
        </w:tc>
        <w:tc>
          <w:tcPr>
            <w:tcW w:w="2606" w:type="dxa"/>
          </w:tcPr>
          <w:p w14:paraId="218EEF2E" w14:textId="77777777" w:rsidR="00FB3497" w:rsidRPr="00801715" w:rsidRDefault="00FB3497" w:rsidP="009A1FF0">
            <w:pPr>
              <w:pStyle w:val="Heading2"/>
              <w:outlineLvl w:val="1"/>
              <w:rPr>
                <w:rFonts w:asciiTheme="minorHAnsi" w:hAnsiTheme="minorHAnsi"/>
                <w:b/>
                <w:color w:val="FFFFFF" w:themeColor="background1"/>
                <w:sz w:val="24"/>
                <w:szCs w:val="24"/>
              </w:rPr>
            </w:pPr>
            <w:r w:rsidRPr="00801715">
              <w:rPr>
                <w:rFonts w:asciiTheme="minorHAnsi" w:hAnsiTheme="minorHAnsi"/>
                <w:b/>
                <w:color w:val="FFFFFF" w:themeColor="background1"/>
                <w:sz w:val="24"/>
                <w:szCs w:val="24"/>
              </w:rPr>
              <w:t>2019</w:t>
            </w:r>
          </w:p>
        </w:tc>
        <w:tc>
          <w:tcPr>
            <w:tcW w:w="3117" w:type="dxa"/>
          </w:tcPr>
          <w:p w14:paraId="037A844B" w14:textId="77777777" w:rsidR="00FB3497" w:rsidRPr="00801715" w:rsidRDefault="00FB3497" w:rsidP="009A1FF0">
            <w:pPr>
              <w:pStyle w:val="Heading2"/>
              <w:outlineLvl w:val="1"/>
              <w:rPr>
                <w:rFonts w:asciiTheme="minorHAnsi" w:hAnsiTheme="minorHAnsi"/>
                <w:b/>
                <w:color w:val="FFFFFF" w:themeColor="background1"/>
                <w:sz w:val="24"/>
                <w:szCs w:val="24"/>
              </w:rPr>
            </w:pPr>
            <w:r w:rsidRPr="00801715">
              <w:rPr>
                <w:rFonts w:asciiTheme="minorHAnsi" w:hAnsiTheme="minorHAnsi"/>
                <w:b/>
                <w:color w:val="FFFFFF" w:themeColor="background1"/>
                <w:sz w:val="24"/>
                <w:szCs w:val="24"/>
              </w:rPr>
              <w:t>2020</w:t>
            </w:r>
            <w:r>
              <w:rPr>
                <w:rFonts w:asciiTheme="minorHAnsi" w:hAnsiTheme="minorHAnsi"/>
                <w:b/>
                <w:color w:val="FFFFFF" w:themeColor="background1"/>
                <w:sz w:val="24"/>
                <w:szCs w:val="24"/>
              </w:rPr>
              <w:t xml:space="preserve"> </w:t>
            </w:r>
          </w:p>
        </w:tc>
      </w:tr>
      <w:tr w:rsidR="00FB3497" w:rsidRPr="00801715" w14:paraId="44D9FE40" w14:textId="77777777" w:rsidTr="00801715">
        <w:trPr>
          <w:cnfStyle w:val="000000100000" w:firstRow="0" w:lastRow="0" w:firstColumn="0" w:lastColumn="0" w:oddVBand="0" w:evenVBand="0" w:oddHBand="1" w:evenHBand="0" w:firstRowFirstColumn="0" w:firstRowLastColumn="0" w:lastRowFirstColumn="0" w:lastRowLastColumn="0"/>
        </w:trPr>
        <w:tc>
          <w:tcPr>
            <w:tcW w:w="3917" w:type="dxa"/>
          </w:tcPr>
          <w:p w14:paraId="2909B6EF"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Community Support of Nebraska</w:t>
            </w:r>
          </w:p>
        </w:tc>
        <w:tc>
          <w:tcPr>
            <w:tcW w:w="2606" w:type="dxa"/>
          </w:tcPr>
          <w:p w14:paraId="74BBC776"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40%</w:t>
            </w:r>
          </w:p>
        </w:tc>
        <w:tc>
          <w:tcPr>
            <w:tcW w:w="3117" w:type="dxa"/>
          </w:tcPr>
          <w:p w14:paraId="62DFF57F"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40%</w:t>
            </w:r>
          </w:p>
        </w:tc>
      </w:tr>
      <w:tr w:rsidR="00FB3497" w:rsidRPr="00801715" w14:paraId="397E4CFC" w14:textId="77777777" w:rsidTr="00801715">
        <w:tc>
          <w:tcPr>
            <w:tcW w:w="3917" w:type="dxa"/>
          </w:tcPr>
          <w:p w14:paraId="79FBB36A"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City of Omaha</w:t>
            </w:r>
          </w:p>
        </w:tc>
        <w:tc>
          <w:tcPr>
            <w:tcW w:w="2606" w:type="dxa"/>
          </w:tcPr>
          <w:p w14:paraId="481EE55D"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25%</w:t>
            </w:r>
          </w:p>
        </w:tc>
        <w:tc>
          <w:tcPr>
            <w:tcW w:w="3117" w:type="dxa"/>
          </w:tcPr>
          <w:p w14:paraId="6452045D"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30%</w:t>
            </w:r>
          </w:p>
        </w:tc>
      </w:tr>
      <w:tr w:rsidR="00FB3497" w:rsidRPr="00801715" w14:paraId="2DFC74F8" w14:textId="77777777" w:rsidTr="00801715">
        <w:trPr>
          <w:cnfStyle w:val="000000100000" w:firstRow="0" w:lastRow="0" w:firstColumn="0" w:lastColumn="0" w:oddVBand="0" w:evenVBand="0" w:oddHBand="1" w:evenHBand="0" w:firstRowFirstColumn="0" w:firstRowLastColumn="0" w:lastRowFirstColumn="0" w:lastRowLastColumn="0"/>
        </w:trPr>
        <w:tc>
          <w:tcPr>
            <w:tcW w:w="3917" w:type="dxa"/>
          </w:tcPr>
          <w:p w14:paraId="3D5C3A49"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Omaha Metropolitan School District</w:t>
            </w:r>
          </w:p>
        </w:tc>
        <w:tc>
          <w:tcPr>
            <w:tcW w:w="2606" w:type="dxa"/>
          </w:tcPr>
          <w:p w14:paraId="1634DB16"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15%</w:t>
            </w:r>
          </w:p>
        </w:tc>
        <w:tc>
          <w:tcPr>
            <w:tcW w:w="3117" w:type="dxa"/>
          </w:tcPr>
          <w:p w14:paraId="04C5A94C"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15%</w:t>
            </w:r>
          </w:p>
        </w:tc>
      </w:tr>
      <w:tr w:rsidR="00FB3497" w:rsidRPr="00801715" w14:paraId="69728AAD" w14:textId="77777777" w:rsidTr="00801715">
        <w:tc>
          <w:tcPr>
            <w:tcW w:w="3917" w:type="dxa"/>
          </w:tcPr>
          <w:p w14:paraId="492015F3"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Donations</w:t>
            </w:r>
          </w:p>
        </w:tc>
        <w:tc>
          <w:tcPr>
            <w:tcW w:w="2606" w:type="dxa"/>
          </w:tcPr>
          <w:p w14:paraId="6EF6EC88"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20%</w:t>
            </w:r>
          </w:p>
        </w:tc>
        <w:tc>
          <w:tcPr>
            <w:tcW w:w="3117" w:type="dxa"/>
          </w:tcPr>
          <w:p w14:paraId="11DD14C5" w14:textId="77777777" w:rsidR="00FB3497" w:rsidRPr="00801715" w:rsidRDefault="00FB3497" w:rsidP="009A1FF0">
            <w:pPr>
              <w:pStyle w:val="Heading2"/>
              <w:outlineLvl w:val="1"/>
              <w:rPr>
                <w:rFonts w:asciiTheme="minorHAnsi" w:hAnsiTheme="minorHAnsi"/>
                <w:b w:val="0"/>
                <w:color w:val="auto"/>
                <w:sz w:val="24"/>
              </w:rPr>
            </w:pPr>
            <w:r w:rsidRPr="00801715">
              <w:rPr>
                <w:rFonts w:asciiTheme="minorHAnsi" w:hAnsiTheme="minorHAnsi"/>
                <w:b w:val="0"/>
                <w:color w:val="auto"/>
                <w:sz w:val="24"/>
              </w:rPr>
              <w:t>15%</w:t>
            </w:r>
          </w:p>
        </w:tc>
      </w:tr>
    </w:tbl>
    <w:p w14:paraId="6381FFCE" w14:textId="77777777" w:rsidR="0074312B" w:rsidRDefault="0074312B" w:rsidP="00801715">
      <w:bookmarkStart w:id="29" w:name="_|2x+51QE1wkC3zSEcj7R7Pw==|1918|29"/>
      <w:bookmarkEnd w:id="29"/>
    </w:p>
    <w:p w14:paraId="0D3F7155" w14:textId="77777777" w:rsidR="00A85342" w:rsidRDefault="00A85342" w:rsidP="00A85342">
      <w:pPr>
        <w:pStyle w:val="Heading2"/>
      </w:pPr>
      <w:r w:rsidRPr="00E44324">
        <w:rPr>
          <w:rStyle w:val="Heading1Char"/>
        </w:rPr>
        <w:t>Organization</w:t>
      </w:r>
      <w:bookmarkStart w:id="30" w:name="_|2x+51QE1wkC3zSEcj7R7Pw==|1918|30"/>
      <w:bookmarkEnd w:id="30"/>
    </w:p>
    <w:p w14:paraId="55EB8825" w14:textId="77777777" w:rsidR="00A85342" w:rsidRDefault="00A85342" w:rsidP="00A85342">
      <w:pPr>
        <w:spacing w:after="240" w:line="276" w:lineRule="auto"/>
      </w:pPr>
      <w:r w:rsidRPr="004E719B">
        <w:t>Omaha Time Exchange is 501(c)</w:t>
      </w:r>
      <w:r w:rsidR="008D2034">
        <w:t>(</w:t>
      </w:r>
      <w:r w:rsidRPr="004E719B">
        <w:t>3</w:t>
      </w:r>
      <w:r w:rsidR="008D2034">
        <w:t>)</w:t>
      </w:r>
      <w:r w:rsidRPr="004E719B">
        <w:t xml:space="preserve"> tax-deductible nonprofit organization. It is run by professional staff and volunteers and managed by a Board of Directors.</w:t>
      </w:r>
      <w:bookmarkStart w:id="31" w:name="_|2x+51QE1wkC3zSEcj7R7Pw==|1918|31"/>
      <w:bookmarkEnd w:id="31"/>
    </w:p>
    <w:p w14:paraId="47D2CB1B" w14:textId="77777777" w:rsidR="00A85342" w:rsidRDefault="00A85342" w:rsidP="00A85342">
      <w:pPr>
        <w:pStyle w:val="Heading2"/>
      </w:pPr>
      <w:r w:rsidRPr="004E719B">
        <w:lastRenderedPageBreak/>
        <w:t>Board of Directors</w:t>
      </w:r>
      <w:bookmarkStart w:id="32" w:name="_|2x+51QE1wkC3zSEcj7R7Pw==|1918|32"/>
      <w:bookmarkEnd w:id="32"/>
    </w:p>
    <w:p w14:paraId="7CC6B893" w14:textId="77777777" w:rsidR="00A85342" w:rsidRDefault="00A85342" w:rsidP="00A85342">
      <w:pPr>
        <w:spacing w:after="240" w:line="276" w:lineRule="auto"/>
      </w:pPr>
      <w:r w:rsidRPr="004E719B">
        <w:t xml:space="preserve">The board provides policy and direction to meet the strategic goals of Omaha Time Exchange and adheres to the highest standards of nonprofit governance. The following members serve on the </w:t>
      </w:r>
      <w:r w:rsidR="00043A2B">
        <w:t>B</w:t>
      </w:r>
      <w:r w:rsidRPr="004E719B">
        <w:t xml:space="preserve">oard of </w:t>
      </w:r>
      <w:r w:rsidR="00043A2B">
        <w:t>D</w:t>
      </w:r>
      <w:r w:rsidRPr="004E719B">
        <w:t>irectors:</w:t>
      </w:r>
      <w:bookmarkStart w:id="33" w:name="_|2x+51QE1wkC3zSEcj7R7Pw==|1918|33"/>
      <w:bookmarkEnd w:id="33"/>
    </w:p>
    <w:tbl>
      <w:tblPr>
        <w:tblStyle w:val="GridTable5Dark-Accent3"/>
        <w:tblW w:w="5000" w:type="pct"/>
        <w:tblLook w:val="0420" w:firstRow="1" w:lastRow="0" w:firstColumn="0" w:lastColumn="0" w:noHBand="0" w:noVBand="1"/>
      </w:tblPr>
      <w:tblGrid>
        <w:gridCol w:w="3043"/>
        <w:gridCol w:w="3154"/>
        <w:gridCol w:w="3153"/>
      </w:tblGrid>
      <w:tr w:rsidR="00FB3497" w14:paraId="60CD78DA" w14:textId="515B5D29" w:rsidTr="00DC6A2A">
        <w:trPr>
          <w:cnfStyle w:val="100000000000" w:firstRow="1" w:lastRow="0" w:firstColumn="0" w:lastColumn="0" w:oddVBand="0" w:evenVBand="0" w:oddHBand="0" w:evenHBand="0" w:firstRowFirstColumn="0" w:firstRowLastColumn="0" w:lastRowFirstColumn="0" w:lastRowLastColumn="0"/>
        </w:trPr>
        <w:tc>
          <w:tcPr>
            <w:tcW w:w="1627" w:type="pct"/>
          </w:tcPr>
          <w:p w14:paraId="6EA3E393" w14:textId="77777777" w:rsidR="00FB3497" w:rsidRDefault="00FB3497" w:rsidP="00E85E21">
            <w:pPr>
              <w:spacing w:before="40" w:after="40"/>
            </w:pPr>
            <w:r w:rsidRPr="004E719B">
              <w:t>Position</w:t>
            </w:r>
          </w:p>
        </w:tc>
        <w:tc>
          <w:tcPr>
            <w:tcW w:w="1686" w:type="pct"/>
          </w:tcPr>
          <w:p w14:paraId="205E6821" w14:textId="77777777" w:rsidR="00FB3497" w:rsidRDefault="00FB3497" w:rsidP="00E85E21">
            <w:pPr>
              <w:spacing w:before="40" w:after="40"/>
            </w:pPr>
            <w:r w:rsidRPr="004E719B">
              <w:t>Name</w:t>
            </w:r>
          </w:p>
        </w:tc>
        <w:tc>
          <w:tcPr>
            <w:tcW w:w="1686" w:type="pct"/>
          </w:tcPr>
          <w:p w14:paraId="3911CA6F" w14:textId="5FE9785D" w:rsidR="00FB3497" w:rsidRPr="004E719B" w:rsidRDefault="00FB3497" w:rsidP="00E85E21">
            <w:pPr>
              <w:spacing w:before="40" w:after="40"/>
            </w:pPr>
            <w:r>
              <w:t>Years</w:t>
            </w:r>
          </w:p>
        </w:tc>
      </w:tr>
      <w:tr w:rsidR="00FB3497" w14:paraId="7A19F5BE" w14:textId="7A8FC44F" w:rsidTr="00DC6A2A">
        <w:trPr>
          <w:cnfStyle w:val="000000100000" w:firstRow="0" w:lastRow="0" w:firstColumn="0" w:lastColumn="0" w:oddVBand="0" w:evenVBand="0" w:oddHBand="1" w:evenHBand="0" w:firstRowFirstColumn="0" w:firstRowLastColumn="0" w:lastRowFirstColumn="0" w:lastRowLastColumn="0"/>
        </w:trPr>
        <w:tc>
          <w:tcPr>
            <w:tcW w:w="1627" w:type="pct"/>
          </w:tcPr>
          <w:p w14:paraId="45A22C3F" w14:textId="77777777" w:rsidR="00FB3497" w:rsidRDefault="00FB3497" w:rsidP="00E85E21">
            <w:pPr>
              <w:spacing w:before="40" w:after="40"/>
            </w:pPr>
            <w:r w:rsidRPr="004E719B">
              <w:t>President</w:t>
            </w:r>
            <w:r>
              <w:t xml:space="preserve"> </w:t>
            </w:r>
          </w:p>
        </w:tc>
        <w:tc>
          <w:tcPr>
            <w:tcW w:w="1686" w:type="pct"/>
          </w:tcPr>
          <w:p w14:paraId="798839AF" w14:textId="77777777" w:rsidR="00FB3497" w:rsidRDefault="00FB3497" w:rsidP="00E85E21">
            <w:pPr>
              <w:spacing w:before="40" w:after="40"/>
            </w:pPr>
            <w:r w:rsidRPr="004E719B">
              <w:t>Gail Hallowell</w:t>
            </w:r>
          </w:p>
        </w:tc>
        <w:tc>
          <w:tcPr>
            <w:tcW w:w="1686" w:type="pct"/>
          </w:tcPr>
          <w:p w14:paraId="786B0F8B" w14:textId="148B00DF" w:rsidR="00FB3497" w:rsidRPr="004E719B" w:rsidRDefault="00FB3497" w:rsidP="00E85E21">
            <w:pPr>
              <w:spacing w:before="40" w:after="40"/>
            </w:pPr>
            <w:r>
              <w:t>12</w:t>
            </w:r>
          </w:p>
        </w:tc>
      </w:tr>
      <w:tr w:rsidR="00FB3497" w14:paraId="4FFB6037" w14:textId="3E4049A6" w:rsidTr="00DC6A2A">
        <w:tc>
          <w:tcPr>
            <w:tcW w:w="1627" w:type="pct"/>
          </w:tcPr>
          <w:p w14:paraId="50F56DF0" w14:textId="77777777" w:rsidR="00FB3497" w:rsidRDefault="00FB3497" w:rsidP="00E85E21">
            <w:pPr>
              <w:spacing w:before="40" w:after="40"/>
            </w:pPr>
            <w:r w:rsidRPr="004E719B">
              <w:t>Vice President</w:t>
            </w:r>
          </w:p>
        </w:tc>
        <w:tc>
          <w:tcPr>
            <w:tcW w:w="1686" w:type="pct"/>
          </w:tcPr>
          <w:p w14:paraId="72876A06" w14:textId="77777777" w:rsidR="00FB3497" w:rsidRDefault="00FB3497" w:rsidP="00E85E21">
            <w:pPr>
              <w:spacing w:before="40" w:after="40"/>
            </w:pPr>
            <w:r w:rsidRPr="004E719B">
              <w:t>Tony Wong</w:t>
            </w:r>
          </w:p>
        </w:tc>
        <w:tc>
          <w:tcPr>
            <w:tcW w:w="1686" w:type="pct"/>
          </w:tcPr>
          <w:p w14:paraId="43562C69" w14:textId="179F033C" w:rsidR="00FB3497" w:rsidRPr="004E719B" w:rsidRDefault="00FB3497" w:rsidP="00E85E21">
            <w:pPr>
              <w:spacing w:before="40" w:after="40"/>
            </w:pPr>
            <w:r>
              <w:t>10</w:t>
            </w:r>
          </w:p>
        </w:tc>
      </w:tr>
      <w:tr w:rsidR="00FB3497" w14:paraId="65778358" w14:textId="5BF2A071" w:rsidTr="00DC6A2A">
        <w:trPr>
          <w:cnfStyle w:val="000000100000" w:firstRow="0" w:lastRow="0" w:firstColumn="0" w:lastColumn="0" w:oddVBand="0" w:evenVBand="0" w:oddHBand="1" w:evenHBand="0" w:firstRowFirstColumn="0" w:firstRowLastColumn="0" w:lastRowFirstColumn="0" w:lastRowLastColumn="0"/>
        </w:trPr>
        <w:tc>
          <w:tcPr>
            <w:tcW w:w="1627" w:type="pct"/>
          </w:tcPr>
          <w:p w14:paraId="79A6F784" w14:textId="77777777" w:rsidR="00FB3497" w:rsidRDefault="00FB3497" w:rsidP="00E85E21">
            <w:pPr>
              <w:spacing w:before="40" w:after="40"/>
            </w:pPr>
            <w:r w:rsidRPr="004E719B">
              <w:t>Treasurer</w:t>
            </w:r>
            <w:r>
              <w:t xml:space="preserve"> </w:t>
            </w:r>
          </w:p>
        </w:tc>
        <w:tc>
          <w:tcPr>
            <w:tcW w:w="1686" w:type="pct"/>
          </w:tcPr>
          <w:p w14:paraId="1572857B" w14:textId="77777777" w:rsidR="00FB3497" w:rsidRDefault="00FB3497" w:rsidP="00E85E21">
            <w:pPr>
              <w:spacing w:before="40" w:after="40"/>
            </w:pPr>
            <w:r w:rsidRPr="004E719B">
              <w:t>Ray Chavez, CPA</w:t>
            </w:r>
          </w:p>
        </w:tc>
        <w:tc>
          <w:tcPr>
            <w:tcW w:w="1686" w:type="pct"/>
          </w:tcPr>
          <w:p w14:paraId="06020943" w14:textId="59B36710" w:rsidR="00FB3497" w:rsidRPr="004E719B" w:rsidRDefault="00FB3497" w:rsidP="00E85E21">
            <w:pPr>
              <w:spacing w:before="40" w:after="40"/>
            </w:pPr>
            <w:r>
              <w:t>12</w:t>
            </w:r>
          </w:p>
        </w:tc>
      </w:tr>
      <w:tr w:rsidR="00FB3497" w14:paraId="42A92F33" w14:textId="172A0CA2" w:rsidTr="00DC6A2A">
        <w:tc>
          <w:tcPr>
            <w:tcW w:w="1627" w:type="pct"/>
          </w:tcPr>
          <w:p w14:paraId="34F6A1A2" w14:textId="77777777" w:rsidR="00FB3497" w:rsidRDefault="00FB3497" w:rsidP="00E85E21">
            <w:pPr>
              <w:spacing w:before="40" w:after="40"/>
            </w:pPr>
            <w:r w:rsidRPr="00E608E6">
              <w:t>Director</w:t>
            </w:r>
            <w:r>
              <w:t xml:space="preserve"> </w:t>
            </w:r>
          </w:p>
        </w:tc>
        <w:tc>
          <w:tcPr>
            <w:tcW w:w="1686" w:type="pct"/>
          </w:tcPr>
          <w:p w14:paraId="74A39572" w14:textId="77777777" w:rsidR="00FB3497" w:rsidRDefault="00FB3497" w:rsidP="00E85E21">
            <w:pPr>
              <w:spacing w:before="40" w:after="40"/>
            </w:pPr>
            <w:r w:rsidRPr="00E608E6">
              <w:t>Amanda Chen</w:t>
            </w:r>
          </w:p>
        </w:tc>
        <w:tc>
          <w:tcPr>
            <w:tcW w:w="1686" w:type="pct"/>
          </w:tcPr>
          <w:p w14:paraId="43336CA8" w14:textId="5285C447" w:rsidR="00FB3497" w:rsidRPr="00E608E6" w:rsidRDefault="00FB3497" w:rsidP="00E85E21">
            <w:pPr>
              <w:spacing w:before="40" w:after="40"/>
            </w:pPr>
            <w:r>
              <w:t>6</w:t>
            </w:r>
          </w:p>
        </w:tc>
      </w:tr>
      <w:tr w:rsidR="00FB3497" w14:paraId="7BDDB8C2" w14:textId="26DC3FA6" w:rsidTr="00DC6A2A">
        <w:trPr>
          <w:cnfStyle w:val="000000100000" w:firstRow="0" w:lastRow="0" w:firstColumn="0" w:lastColumn="0" w:oddVBand="0" w:evenVBand="0" w:oddHBand="1" w:evenHBand="0" w:firstRowFirstColumn="0" w:firstRowLastColumn="0" w:lastRowFirstColumn="0" w:lastRowLastColumn="0"/>
        </w:trPr>
        <w:tc>
          <w:tcPr>
            <w:tcW w:w="1627" w:type="pct"/>
          </w:tcPr>
          <w:p w14:paraId="6F8489DF" w14:textId="77777777" w:rsidR="00FB3497" w:rsidRDefault="00FB3497" w:rsidP="00E85E21">
            <w:pPr>
              <w:spacing w:before="40" w:after="40"/>
            </w:pPr>
            <w:r w:rsidRPr="00E608E6">
              <w:t>Director</w:t>
            </w:r>
            <w:r>
              <w:t xml:space="preserve"> </w:t>
            </w:r>
          </w:p>
        </w:tc>
        <w:tc>
          <w:tcPr>
            <w:tcW w:w="1686" w:type="pct"/>
          </w:tcPr>
          <w:p w14:paraId="4AAA21C1" w14:textId="77777777" w:rsidR="00FB3497" w:rsidRDefault="00FB3497" w:rsidP="00E85E21">
            <w:pPr>
              <w:spacing w:before="40" w:after="40"/>
            </w:pPr>
            <w:r w:rsidRPr="00E608E6">
              <w:t>Josh Wasserberg</w:t>
            </w:r>
          </w:p>
        </w:tc>
        <w:tc>
          <w:tcPr>
            <w:tcW w:w="1686" w:type="pct"/>
          </w:tcPr>
          <w:p w14:paraId="6A829C3E" w14:textId="43B42E48" w:rsidR="00FB3497" w:rsidRPr="00E608E6" w:rsidRDefault="00FB3497" w:rsidP="00E85E21">
            <w:pPr>
              <w:spacing w:before="40" w:after="40"/>
            </w:pPr>
            <w:r>
              <w:t>4</w:t>
            </w:r>
          </w:p>
        </w:tc>
      </w:tr>
      <w:tr w:rsidR="00FB3497" w14:paraId="6067CE87" w14:textId="2FB0E7AB" w:rsidTr="00DC6A2A">
        <w:tc>
          <w:tcPr>
            <w:tcW w:w="1627" w:type="pct"/>
          </w:tcPr>
          <w:p w14:paraId="0405EDE8" w14:textId="77777777" w:rsidR="00FB3497" w:rsidRDefault="00FB3497" w:rsidP="00E85E21">
            <w:pPr>
              <w:spacing w:before="40" w:after="40"/>
            </w:pPr>
            <w:r w:rsidRPr="00E608E6">
              <w:t>Director</w:t>
            </w:r>
            <w:r>
              <w:t xml:space="preserve"> </w:t>
            </w:r>
          </w:p>
        </w:tc>
        <w:tc>
          <w:tcPr>
            <w:tcW w:w="1686" w:type="pct"/>
          </w:tcPr>
          <w:p w14:paraId="72848178" w14:textId="77777777" w:rsidR="00FB3497" w:rsidRDefault="00FB3497" w:rsidP="00E85E21">
            <w:pPr>
              <w:spacing w:before="40" w:after="40"/>
            </w:pPr>
            <w:r w:rsidRPr="00E608E6">
              <w:t>Jacki Laurent</w:t>
            </w:r>
          </w:p>
        </w:tc>
        <w:tc>
          <w:tcPr>
            <w:tcW w:w="1686" w:type="pct"/>
          </w:tcPr>
          <w:p w14:paraId="30B4493D" w14:textId="72606A1A" w:rsidR="00FB3497" w:rsidRPr="00E608E6" w:rsidRDefault="00FB3497" w:rsidP="00E85E21">
            <w:pPr>
              <w:spacing w:before="40" w:after="40"/>
            </w:pPr>
            <w:r>
              <w:t>2</w:t>
            </w:r>
          </w:p>
        </w:tc>
      </w:tr>
    </w:tbl>
    <w:p w14:paraId="375BC02C" w14:textId="77777777" w:rsidR="00801715" w:rsidRDefault="00801715" w:rsidP="00801715">
      <w:pPr>
        <w:pStyle w:val="Heading2"/>
      </w:pPr>
      <w:r w:rsidRPr="00801715">
        <w:t>Omaha Time Exchange Staff</w:t>
      </w:r>
      <w:bookmarkStart w:id="34" w:name="_|2x+51QE1wkC3zSEcj7R7Pw==|1918|34"/>
      <w:bookmarkEnd w:id="34"/>
    </w:p>
    <w:p w14:paraId="55E83A4A" w14:textId="6E62E3CF" w:rsidR="00801715" w:rsidRDefault="00801715" w:rsidP="00DC6A2A">
      <w:pPr>
        <w:tabs>
          <w:tab w:val="left" w:pos="3600"/>
        </w:tabs>
        <w:spacing w:after="240" w:line="276" w:lineRule="auto"/>
        <w:contextualSpacing/>
      </w:pPr>
      <w:r>
        <w:t>Executive Director</w:t>
      </w:r>
      <w:r w:rsidR="00DC6A2A">
        <w:tab/>
      </w:r>
      <w:r>
        <w:t xml:space="preserve"> Jennifer Granada</w:t>
      </w:r>
      <w:bookmarkStart w:id="35" w:name="_|2x+51QE1wkC3zSEcj7R7Pw==|1918|35"/>
      <w:bookmarkEnd w:id="35"/>
    </w:p>
    <w:p w14:paraId="49110EB6" w14:textId="596FF9ED" w:rsidR="00801715" w:rsidRDefault="00801715" w:rsidP="00DC6A2A">
      <w:pPr>
        <w:tabs>
          <w:tab w:val="left" w:pos="3600"/>
        </w:tabs>
        <w:spacing w:after="240" w:line="276" w:lineRule="auto"/>
        <w:contextualSpacing/>
      </w:pPr>
      <w:r>
        <w:t>Youth Director</w:t>
      </w:r>
      <w:r w:rsidR="00DC6A2A">
        <w:tab/>
      </w:r>
      <w:r>
        <w:t xml:space="preserve"> Rebecca Borowitz</w:t>
      </w:r>
      <w:bookmarkStart w:id="36" w:name="_|2x+51QE1wkC3zSEcj7R7Pw==|1918|36"/>
      <w:bookmarkEnd w:id="36"/>
    </w:p>
    <w:p w14:paraId="2E6E3030" w14:textId="0D8927CA" w:rsidR="00801715" w:rsidRDefault="00801715" w:rsidP="00DC6A2A">
      <w:pPr>
        <w:tabs>
          <w:tab w:val="left" w:pos="3600"/>
        </w:tabs>
        <w:spacing w:after="240" w:line="276" w:lineRule="auto"/>
        <w:contextualSpacing/>
      </w:pPr>
      <w:r>
        <w:t>Community Outreach Coordinator</w:t>
      </w:r>
      <w:r w:rsidR="00DC6A2A">
        <w:tab/>
      </w:r>
      <w:r>
        <w:t xml:space="preserve"> Brett </w:t>
      </w:r>
      <w:proofErr w:type="spellStart"/>
      <w:r>
        <w:t>MacKinney</w:t>
      </w:r>
      <w:bookmarkStart w:id="37" w:name="_|2x+51QE1wkC3zSEcj7R7Pw==|1918|37"/>
      <w:bookmarkEnd w:id="37"/>
      <w:proofErr w:type="spellEnd"/>
    </w:p>
    <w:p w14:paraId="543B73A2" w14:textId="37D3CDEB" w:rsidR="00801715" w:rsidRDefault="00801715" w:rsidP="00DC6A2A">
      <w:pPr>
        <w:tabs>
          <w:tab w:val="left" w:pos="3600"/>
        </w:tabs>
        <w:spacing w:after="240" w:line="276" w:lineRule="auto"/>
        <w:contextualSpacing/>
      </w:pPr>
      <w:r>
        <w:t>Wellness Coordinator</w:t>
      </w:r>
      <w:r w:rsidR="00DC6A2A">
        <w:tab/>
      </w:r>
      <w:r>
        <w:t xml:space="preserve"> Megan </w:t>
      </w:r>
      <w:proofErr w:type="spellStart"/>
      <w:r>
        <w:t>Guilfoil</w:t>
      </w:r>
      <w:bookmarkStart w:id="38" w:name="_|2x+51QE1wkC3zSEcj7R7Pw==|1918|38"/>
      <w:bookmarkEnd w:id="38"/>
      <w:proofErr w:type="spellEnd"/>
    </w:p>
    <w:p w14:paraId="07CFF1A9" w14:textId="538F7B86" w:rsidR="00801715" w:rsidRDefault="00801715" w:rsidP="00DC6A2A">
      <w:pPr>
        <w:tabs>
          <w:tab w:val="left" w:pos="3600"/>
        </w:tabs>
        <w:spacing w:after="240" w:line="276" w:lineRule="auto"/>
        <w:contextualSpacing/>
      </w:pPr>
      <w:r>
        <w:t>Student Interns</w:t>
      </w:r>
      <w:r w:rsidR="00DC6A2A">
        <w:tab/>
      </w:r>
      <w:r>
        <w:t xml:space="preserve"> Will Flores and Maddy Lewis</w:t>
      </w:r>
      <w:bookmarkStart w:id="39" w:name="_|2x+51QE1wkC3zSEcj7R7Pw==|1918|39"/>
      <w:bookmarkEnd w:id="39"/>
    </w:p>
    <w:sectPr w:rsidR="00801715" w:rsidSect="00DC6A2A">
      <w:headerReference w:type="default" r:id="rId14"/>
      <w:footerReference w:type="even" r:id="rId15"/>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6162B" w14:textId="77777777" w:rsidR="00841BD7" w:rsidRDefault="00841BD7" w:rsidP="004E719B">
      <w:pPr>
        <w:spacing w:after="0"/>
      </w:pPr>
      <w:r>
        <w:separator/>
      </w:r>
    </w:p>
  </w:endnote>
  <w:endnote w:type="continuationSeparator" w:id="0">
    <w:p w14:paraId="44341C5B" w14:textId="77777777" w:rsidR="00841BD7" w:rsidRDefault="00841BD7" w:rsidP="004E719B">
      <w:pPr>
        <w:spacing w:after="0"/>
      </w:pPr>
      <w:r>
        <w:continuationSeparator/>
      </w:r>
    </w:p>
  </w:endnote>
  <w:endnote w:id="1">
    <w:p w14:paraId="6B0E3FBC" w14:textId="3331A543" w:rsidR="00FB3497" w:rsidRDefault="00FB3497">
      <w:pPr>
        <w:pStyle w:val="EndnoteText"/>
      </w:pPr>
      <w:r>
        <w:rPr>
          <w:rStyle w:val="EndnoteReference"/>
        </w:rPr>
        <w:endnoteRef/>
      </w:r>
      <w:r>
        <w:t xml:space="preserve"> Data compiled from City of Omaha budgets, 2019 and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74C35" w14:textId="77777777" w:rsidR="009C6266" w:rsidRDefault="00841BD7">
    <w:pPr>
      <w:pStyle w:val="Footer"/>
    </w:pPr>
    <w:r>
      <w:t>This file created specifically for Adam Kistler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E8265" w14:textId="77777777" w:rsidR="009C6266" w:rsidRDefault="00841BD7">
    <w:pPr>
      <w:pStyle w:val="Footer"/>
    </w:pPr>
    <w:r>
      <w:t>This file created specifically for Adam Kistler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12C8" w14:textId="77777777" w:rsidR="009C6266" w:rsidRDefault="00841BD7">
    <w:pPr>
      <w:pStyle w:val="Footer"/>
    </w:pPr>
    <w:r>
      <w:t>This file created specifically for Adam Kistler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ADAE" w14:textId="77777777" w:rsidR="00841BD7" w:rsidRDefault="00841BD7" w:rsidP="004E719B">
      <w:pPr>
        <w:spacing w:after="0"/>
      </w:pPr>
      <w:r>
        <w:separator/>
      </w:r>
    </w:p>
  </w:footnote>
  <w:footnote w:type="continuationSeparator" w:id="0">
    <w:p w14:paraId="6D71F9E5" w14:textId="77777777" w:rsidR="00841BD7" w:rsidRDefault="00841BD7" w:rsidP="004E719B">
      <w:pPr>
        <w:spacing w:after="0"/>
      </w:pPr>
      <w:r>
        <w:continuationSeparator/>
      </w:r>
    </w:p>
  </w:footnote>
  <w:footnote w:id="1">
    <w:p w14:paraId="2EBA8737" w14:textId="6173555A" w:rsidR="00E44324" w:rsidRDefault="00E44324">
      <w:pPr>
        <w:pStyle w:val="FootnoteText"/>
      </w:pPr>
      <w:r>
        <w:rPr>
          <w:rStyle w:val="FootnoteReference"/>
        </w:rPr>
        <w:footnoteRef/>
      </w:r>
      <w:r>
        <w:t xml:space="preserve"> For a complete description of our services, see our website at www.ote.cengage.com.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36"/>
      <w:gridCol w:w="8624"/>
    </w:tblGrid>
    <w:tr w:rsidR="00DC6A2A" w14:paraId="2180F7D7" w14:textId="77777777">
      <w:trPr>
        <w:jc w:val="right"/>
      </w:trPr>
      <w:tc>
        <w:tcPr>
          <w:tcW w:w="0" w:type="auto"/>
          <w:shd w:val="clear" w:color="auto" w:fill="ED7D31" w:themeFill="accent2"/>
          <w:vAlign w:val="center"/>
        </w:tcPr>
        <w:p w14:paraId="7A150F35" w14:textId="77777777" w:rsidR="00DC6A2A" w:rsidRDefault="00DC6A2A">
          <w:pPr>
            <w:pStyle w:val="Header"/>
            <w:rPr>
              <w:caps/>
              <w:color w:val="FFFFFF" w:themeColor="background1"/>
            </w:rPr>
          </w:pPr>
        </w:p>
      </w:tc>
      <w:tc>
        <w:tcPr>
          <w:tcW w:w="0" w:type="auto"/>
          <w:shd w:val="clear" w:color="auto" w:fill="ED7D31" w:themeFill="accent2"/>
          <w:vAlign w:val="center"/>
        </w:tcPr>
        <w:p w14:paraId="14F54C68" w14:textId="39A63A33" w:rsidR="00DC6A2A" w:rsidRDefault="00DC6A2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2968DBB8E764E029CBFB7BBCC07FD91"/>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Omaha Time Exchange</w:t>
              </w:r>
            </w:sdtContent>
          </w:sdt>
        </w:p>
      </w:tc>
    </w:tr>
  </w:tbl>
  <w:p w14:paraId="36D32509" w14:textId="77777777" w:rsidR="004E719B" w:rsidRDefault="004E719B" w:rsidP="000F0523">
    <w:pPr>
      <w:pStyle w:val="Header"/>
      <w:spacing w:after="1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740F3"/>
    <w:multiLevelType w:val="hybridMultilevel"/>
    <w:tmpl w:val="E1BA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D9"/>
    <w:rsid w:val="00005136"/>
    <w:rsid w:val="000217D7"/>
    <w:rsid w:val="00043A2B"/>
    <w:rsid w:val="000F0523"/>
    <w:rsid w:val="00101EFD"/>
    <w:rsid w:val="00210FB4"/>
    <w:rsid w:val="0028529A"/>
    <w:rsid w:val="002B34C5"/>
    <w:rsid w:val="002D25DF"/>
    <w:rsid w:val="002D75D8"/>
    <w:rsid w:val="0032414C"/>
    <w:rsid w:val="00360093"/>
    <w:rsid w:val="0038559C"/>
    <w:rsid w:val="00387695"/>
    <w:rsid w:val="00452084"/>
    <w:rsid w:val="004533B9"/>
    <w:rsid w:val="004E719B"/>
    <w:rsid w:val="00512C55"/>
    <w:rsid w:val="00531176"/>
    <w:rsid w:val="00551CA8"/>
    <w:rsid w:val="00575BCF"/>
    <w:rsid w:val="005F6FE0"/>
    <w:rsid w:val="006208AC"/>
    <w:rsid w:val="00673276"/>
    <w:rsid w:val="00677312"/>
    <w:rsid w:val="006C7446"/>
    <w:rsid w:val="0074312B"/>
    <w:rsid w:val="007634D0"/>
    <w:rsid w:val="00801715"/>
    <w:rsid w:val="00841BD7"/>
    <w:rsid w:val="00845B46"/>
    <w:rsid w:val="008D2034"/>
    <w:rsid w:val="009A1FF0"/>
    <w:rsid w:val="009C6266"/>
    <w:rsid w:val="009C7F2C"/>
    <w:rsid w:val="009F104E"/>
    <w:rsid w:val="00A85342"/>
    <w:rsid w:val="00AB0DFD"/>
    <w:rsid w:val="00AC1395"/>
    <w:rsid w:val="00C02B6C"/>
    <w:rsid w:val="00C73A0D"/>
    <w:rsid w:val="00CF73C2"/>
    <w:rsid w:val="00D559A8"/>
    <w:rsid w:val="00D80ED9"/>
    <w:rsid w:val="00DC6A2A"/>
    <w:rsid w:val="00E06FF4"/>
    <w:rsid w:val="00E44324"/>
    <w:rsid w:val="00E608E6"/>
    <w:rsid w:val="00F8305C"/>
    <w:rsid w:val="00FB3497"/>
    <w:rsid w:val="00FD0994"/>
    <w:rsid w:val="00FE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F5F4"/>
  <w15:chartTrackingRefBased/>
  <w15:docId w15:val="{EDC5BA06-A923-418B-903B-47181DCC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994"/>
    <w:pPr>
      <w:spacing w:after="120" w:line="240" w:lineRule="auto"/>
    </w:pPr>
    <w:rPr>
      <w:sz w:val="24"/>
    </w:rPr>
  </w:style>
  <w:style w:type="paragraph" w:styleId="Heading1">
    <w:name w:val="heading 1"/>
    <w:basedOn w:val="Normal"/>
    <w:next w:val="Normal"/>
    <w:link w:val="Heading1Char"/>
    <w:uiPriority w:val="9"/>
    <w:qFormat/>
    <w:rsid w:val="00FD0994"/>
    <w:pPr>
      <w:keepNext/>
      <w:keepLines/>
      <w:spacing w:before="48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FD0994"/>
    <w:pPr>
      <w:keepNext/>
      <w:keepLines/>
      <w:spacing w:before="200"/>
      <w:outlineLvl w:val="1"/>
    </w:pPr>
    <w:rPr>
      <w:rFonts w:asciiTheme="majorHAnsi" w:eastAsiaTheme="majorEastAsia" w:hAnsiTheme="majorHAnsi" w:cstheme="majorBidi"/>
      <w:b/>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94"/>
    <w:rPr>
      <w:rFonts w:asciiTheme="majorHAnsi" w:eastAsiaTheme="majorEastAsia" w:hAnsiTheme="majorHAnsi" w:cstheme="majorBidi"/>
      <w:b/>
      <w:color w:val="2F5496" w:themeColor="accent1" w:themeShade="BF"/>
      <w:sz w:val="28"/>
      <w:szCs w:val="32"/>
    </w:rPr>
  </w:style>
  <w:style w:type="character" w:customStyle="1" w:styleId="Heading2Char">
    <w:name w:val="Heading 2 Char"/>
    <w:basedOn w:val="DefaultParagraphFont"/>
    <w:link w:val="Heading2"/>
    <w:uiPriority w:val="9"/>
    <w:rsid w:val="00FD0994"/>
    <w:rPr>
      <w:rFonts w:asciiTheme="majorHAnsi" w:eastAsiaTheme="majorEastAsia" w:hAnsiTheme="majorHAnsi" w:cstheme="majorBidi"/>
      <w:b/>
      <w:color w:val="4472C4" w:themeColor="accent1"/>
      <w:sz w:val="26"/>
      <w:szCs w:val="26"/>
    </w:rPr>
  </w:style>
  <w:style w:type="paragraph" w:styleId="Header">
    <w:name w:val="header"/>
    <w:basedOn w:val="Normal"/>
    <w:link w:val="HeaderChar"/>
    <w:uiPriority w:val="99"/>
    <w:unhideWhenUsed/>
    <w:rsid w:val="004E719B"/>
    <w:pPr>
      <w:tabs>
        <w:tab w:val="center" w:pos="4680"/>
        <w:tab w:val="right" w:pos="9360"/>
      </w:tabs>
      <w:spacing w:after="0"/>
    </w:pPr>
  </w:style>
  <w:style w:type="character" w:customStyle="1" w:styleId="HeaderChar">
    <w:name w:val="Header Char"/>
    <w:basedOn w:val="DefaultParagraphFont"/>
    <w:link w:val="Header"/>
    <w:uiPriority w:val="99"/>
    <w:rsid w:val="004E719B"/>
    <w:rPr>
      <w:sz w:val="24"/>
    </w:rPr>
  </w:style>
  <w:style w:type="paragraph" w:styleId="Footer">
    <w:name w:val="footer"/>
    <w:basedOn w:val="Normal"/>
    <w:link w:val="FooterChar"/>
    <w:uiPriority w:val="99"/>
    <w:unhideWhenUsed/>
    <w:rsid w:val="004E719B"/>
    <w:pPr>
      <w:tabs>
        <w:tab w:val="center" w:pos="4680"/>
        <w:tab w:val="right" w:pos="9360"/>
      </w:tabs>
      <w:spacing w:after="0"/>
    </w:pPr>
  </w:style>
  <w:style w:type="character" w:customStyle="1" w:styleId="FooterChar">
    <w:name w:val="Footer Char"/>
    <w:basedOn w:val="DefaultParagraphFont"/>
    <w:link w:val="Footer"/>
    <w:uiPriority w:val="99"/>
    <w:rsid w:val="004E719B"/>
    <w:rPr>
      <w:sz w:val="24"/>
    </w:rPr>
  </w:style>
  <w:style w:type="table" w:styleId="TableGrid">
    <w:name w:val="Table Grid"/>
    <w:basedOn w:val="TableNormal"/>
    <w:uiPriority w:val="39"/>
    <w:rsid w:val="004E7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3C2"/>
    <w:pPr>
      <w:ind w:left="720"/>
      <w:contextualSpacing/>
    </w:pPr>
  </w:style>
  <w:style w:type="table" w:styleId="GridTable5Dark-Accent3">
    <w:name w:val="Grid Table 5 Dark Accent 3"/>
    <w:basedOn w:val="TableNormal"/>
    <w:uiPriority w:val="50"/>
    <w:rsid w:val="009A1F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845B4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46"/>
    <w:rPr>
      <w:rFonts w:ascii="Segoe UI" w:hAnsi="Segoe UI" w:cs="Segoe UI"/>
      <w:sz w:val="18"/>
      <w:szCs w:val="18"/>
    </w:rPr>
  </w:style>
  <w:style w:type="paragraph" w:styleId="FootnoteText">
    <w:name w:val="footnote text"/>
    <w:basedOn w:val="Normal"/>
    <w:link w:val="FootnoteTextChar"/>
    <w:uiPriority w:val="99"/>
    <w:semiHidden/>
    <w:unhideWhenUsed/>
    <w:rsid w:val="00E44324"/>
    <w:pPr>
      <w:spacing w:after="0"/>
    </w:pPr>
    <w:rPr>
      <w:sz w:val="20"/>
      <w:szCs w:val="20"/>
    </w:rPr>
  </w:style>
  <w:style w:type="character" w:customStyle="1" w:styleId="FootnoteTextChar">
    <w:name w:val="Footnote Text Char"/>
    <w:basedOn w:val="DefaultParagraphFont"/>
    <w:link w:val="FootnoteText"/>
    <w:uiPriority w:val="99"/>
    <w:semiHidden/>
    <w:rsid w:val="00E44324"/>
    <w:rPr>
      <w:sz w:val="20"/>
      <w:szCs w:val="20"/>
    </w:rPr>
  </w:style>
  <w:style w:type="character" w:styleId="FootnoteReference">
    <w:name w:val="footnote reference"/>
    <w:basedOn w:val="DefaultParagraphFont"/>
    <w:uiPriority w:val="99"/>
    <w:semiHidden/>
    <w:unhideWhenUsed/>
    <w:rsid w:val="00E44324"/>
    <w:rPr>
      <w:vertAlign w:val="superscript"/>
    </w:rPr>
  </w:style>
  <w:style w:type="paragraph" w:styleId="EndnoteText">
    <w:name w:val="endnote text"/>
    <w:basedOn w:val="Normal"/>
    <w:link w:val="EndnoteTextChar"/>
    <w:uiPriority w:val="99"/>
    <w:semiHidden/>
    <w:unhideWhenUsed/>
    <w:rsid w:val="00FB3497"/>
    <w:pPr>
      <w:spacing w:after="0"/>
    </w:pPr>
    <w:rPr>
      <w:sz w:val="20"/>
      <w:szCs w:val="20"/>
    </w:rPr>
  </w:style>
  <w:style w:type="character" w:customStyle="1" w:styleId="EndnoteTextChar">
    <w:name w:val="Endnote Text Char"/>
    <w:basedOn w:val="DefaultParagraphFont"/>
    <w:link w:val="EndnoteText"/>
    <w:uiPriority w:val="99"/>
    <w:semiHidden/>
    <w:rsid w:val="00FB3497"/>
    <w:rPr>
      <w:sz w:val="20"/>
      <w:szCs w:val="20"/>
    </w:rPr>
  </w:style>
  <w:style w:type="character" w:styleId="EndnoteReference">
    <w:name w:val="endnote reference"/>
    <w:basedOn w:val="DefaultParagraphFont"/>
    <w:uiPriority w:val="99"/>
    <w:semiHidden/>
    <w:unhideWhenUsed/>
    <w:rsid w:val="00FB3497"/>
    <w:rPr>
      <w:vertAlign w:val="superscript"/>
    </w:rPr>
  </w:style>
  <w:style w:type="paragraph" w:styleId="NoSpacing">
    <w:name w:val="No Spacing"/>
    <w:link w:val="NoSpacingChar"/>
    <w:uiPriority w:val="1"/>
    <w:qFormat/>
    <w:rsid w:val="00DC6A2A"/>
    <w:pPr>
      <w:spacing w:after="0" w:line="240" w:lineRule="auto"/>
    </w:pPr>
    <w:rPr>
      <w:rFonts w:eastAsiaTheme="minorEastAsia"/>
    </w:rPr>
  </w:style>
  <w:style w:type="character" w:customStyle="1" w:styleId="NoSpacingChar">
    <w:name w:val="No Spacing Char"/>
    <w:basedOn w:val="DefaultParagraphFont"/>
    <w:link w:val="NoSpacing"/>
    <w:uiPriority w:val="1"/>
    <w:rsid w:val="00DC6A2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8D61B-5862-4D8F-91D8-A3583B30C9D0}" type="doc">
      <dgm:prSet loTypeId="urn:microsoft.com/office/officeart/2005/8/layout/hProcess9" loCatId="process" qsTypeId="urn:microsoft.com/office/officeart/2005/8/quickstyle/simple1" qsCatId="simple" csTypeId="urn:microsoft.com/office/officeart/2005/8/colors/accent1_2" csCatId="accent1" phldr="1"/>
      <dgm:spPr/>
    </dgm:pt>
    <dgm:pt modelId="{E4916734-EB59-4C18-BA69-CF1D8A270980}">
      <dgm:prSet phldrT="[Text]"/>
      <dgm:spPr/>
      <dgm:t>
        <a:bodyPr/>
        <a:lstStyle/>
        <a:p>
          <a:r>
            <a:rPr lang="en-US"/>
            <a:t>Rest and Restore</a:t>
          </a:r>
        </a:p>
      </dgm:t>
    </dgm:pt>
    <dgm:pt modelId="{68AA4806-5E9C-4752-B492-BE59D6D5AD4B}" type="parTrans" cxnId="{C753B215-BD92-43F1-A765-48E6079CC08F}">
      <dgm:prSet/>
      <dgm:spPr/>
      <dgm:t>
        <a:bodyPr/>
        <a:lstStyle/>
        <a:p>
          <a:endParaRPr lang="en-US"/>
        </a:p>
      </dgm:t>
    </dgm:pt>
    <dgm:pt modelId="{68E30071-F721-41B0-8CF6-8A9C643F5C03}" type="sibTrans" cxnId="{C753B215-BD92-43F1-A765-48E6079CC08F}">
      <dgm:prSet/>
      <dgm:spPr/>
      <dgm:t>
        <a:bodyPr/>
        <a:lstStyle/>
        <a:p>
          <a:endParaRPr lang="en-US"/>
        </a:p>
      </dgm:t>
    </dgm:pt>
    <dgm:pt modelId="{2BEC22FC-996D-482B-956C-2DA77E909965}">
      <dgm:prSet phldrT="[Text]"/>
      <dgm:spPr/>
      <dgm:t>
        <a:bodyPr/>
        <a:lstStyle/>
        <a:p>
          <a:r>
            <a:rPr lang="en-US"/>
            <a:t>Open Space Gardens</a:t>
          </a:r>
        </a:p>
      </dgm:t>
    </dgm:pt>
    <dgm:pt modelId="{27F01460-7B5B-4DD3-84A4-94770EA7D48D}" type="parTrans" cxnId="{DACD20CD-128D-41BB-879B-F28A4A2E9F5F}">
      <dgm:prSet/>
      <dgm:spPr/>
      <dgm:t>
        <a:bodyPr/>
        <a:lstStyle/>
        <a:p>
          <a:endParaRPr lang="en-US"/>
        </a:p>
      </dgm:t>
    </dgm:pt>
    <dgm:pt modelId="{D084B224-3897-4780-BC68-0B480E0C6044}" type="sibTrans" cxnId="{DACD20CD-128D-41BB-879B-F28A4A2E9F5F}">
      <dgm:prSet/>
      <dgm:spPr/>
      <dgm:t>
        <a:bodyPr/>
        <a:lstStyle/>
        <a:p>
          <a:endParaRPr lang="en-US"/>
        </a:p>
      </dgm:t>
    </dgm:pt>
    <dgm:pt modelId="{D1439CFB-CB45-4680-A733-D7324660DDAF}">
      <dgm:prSet phldrT="[Text]"/>
      <dgm:spPr/>
      <dgm:t>
        <a:bodyPr/>
        <a:lstStyle/>
        <a:p>
          <a:r>
            <a:rPr lang="en-US"/>
            <a:t>Neighbor to Neighbor</a:t>
          </a:r>
        </a:p>
      </dgm:t>
    </dgm:pt>
    <dgm:pt modelId="{7DCA6DEA-512E-49FE-9BE7-71D9D5090D1B}" type="parTrans" cxnId="{E4D98005-573C-4245-837E-81B513FAC9AD}">
      <dgm:prSet/>
      <dgm:spPr/>
      <dgm:t>
        <a:bodyPr/>
        <a:lstStyle/>
        <a:p>
          <a:endParaRPr lang="en-US"/>
        </a:p>
      </dgm:t>
    </dgm:pt>
    <dgm:pt modelId="{6D84C331-B3B0-4692-9BA2-12A5CDDCA2C5}" type="sibTrans" cxnId="{E4D98005-573C-4245-837E-81B513FAC9AD}">
      <dgm:prSet/>
      <dgm:spPr/>
      <dgm:t>
        <a:bodyPr/>
        <a:lstStyle/>
        <a:p>
          <a:endParaRPr lang="en-US"/>
        </a:p>
      </dgm:t>
    </dgm:pt>
    <dgm:pt modelId="{CAF16C99-8EFC-4319-B69F-3D35978D736E}" type="pres">
      <dgm:prSet presAssocID="{E438D61B-5862-4D8F-91D8-A3583B30C9D0}" presName="CompostProcess" presStyleCnt="0">
        <dgm:presLayoutVars>
          <dgm:dir/>
          <dgm:resizeHandles val="exact"/>
        </dgm:presLayoutVars>
      </dgm:prSet>
      <dgm:spPr/>
    </dgm:pt>
    <dgm:pt modelId="{50F22844-401C-4FB3-B587-C59FB6CB1D35}" type="pres">
      <dgm:prSet presAssocID="{E438D61B-5862-4D8F-91D8-A3583B30C9D0}" presName="arrow" presStyleLbl="bgShp" presStyleIdx="0" presStyleCnt="1"/>
      <dgm:spPr/>
    </dgm:pt>
    <dgm:pt modelId="{C01CEF8F-DF92-4F60-802D-4956F43BBE65}" type="pres">
      <dgm:prSet presAssocID="{E438D61B-5862-4D8F-91D8-A3583B30C9D0}" presName="linearProcess" presStyleCnt="0"/>
      <dgm:spPr/>
    </dgm:pt>
    <dgm:pt modelId="{5D425CF4-BB3A-4DA8-9F53-7C1E3EFCAB9A}" type="pres">
      <dgm:prSet presAssocID="{E4916734-EB59-4C18-BA69-CF1D8A270980}" presName="textNode" presStyleLbl="node1" presStyleIdx="0" presStyleCnt="3">
        <dgm:presLayoutVars>
          <dgm:bulletEnabled val="1"/>
        </dgm:presLayoutVars>
      </dgm:prSet>
      <dgm:spPr/>
    </dgm:pt>
    <dgm:pt modelId="{7F2E6EF7-189C-4FAB-BF5A-1D1C5F5D8537}" type="pres">
      <dgm:prSet presAssocID="{68E30071-F721-41B0-8CF6-8A9C643F5C03}" presName="sibTrans" presStyleCnt="0"/>
      <dgm:spPr/>
    </dgm:pt>
    <dgm:pt modelId="{D237AB86-F98D-4C33-9C1D-36AAA27490D5}" type="pres">
      <dgm:prSet presAssocID="{2BEC22FC-996D-482B-956C-2DA77E909965}" presName="textNode" presStyleLbl="node1" presStyleIdx="1" presStyleCnt="3">
        <dgm:presLayoutVars>
          <dgm:bulletEnabled val="1"/>
        </dgm:presLayoutVars>
      </dgm:prSet>
      <dgm:spPr/>
    </dgm:pt>
    <dgm:pt modelId="{A8728CCA-383E-4BB4-A454-6FDAF1DFD2A5}" type="pres">
      <dgm:prSet presAssocID="{D084B224-3897-4780-BC68-0B480E0C6044}" presName="sibTrans" presStyleCnt="0"/>
      <dgm:spPr/>
    </dgm:pt>
    <dgm:pt modelId="{7E43A351-EB71-469F-93E5-E6F44CF72341}" type="pres">
      <dgm:prSet presAssocID="{D1439CFB-CB45-4680-A733-D7324660DDAF}" presName="textNode" presStyleLbl="node1" presStyleIdx="2" presStyleCnt="3">
        <dgm:presLayoutVars>
          <dgm:bulletEnabled val="1"/>
        </dgm:presLayoutVars>
      </dgm:prSet>
      <dgm:spPr/>
    </dgm:pt>
  </dgm:ptLst>
  <dgm:cxnLst>
    <dgm:cxn modelId="{E4D98005-573C-4245-837E-81B513FAC9AD}" srcId="{E438D61B-5862-4D8F-91D8-A3583B30C9D0}" destId="{D1439CFB-CB45-4680-A733-D7324660DDAF}" srcOrd="2" destOrd="0" parTransId="{7DCA6DEA-512E-49FE-9BE7-71D9D5090D1B}" sibTransId="{6D84C331-B3B0-4692-9BA2-12A5CDDCA2C5}"/>
    <dgm:cxn modelId="{C753B215-BD92-43F1-A765-48E6079CC08F}" srcId="{E438D61B-5862-4D8F-91D8-A3583B30C9D0}" destId="{E4916734-EB59-4C18-BA69-CF1D8A270980}" srcOrd="0" destOrd="0" parTransId="{68AA4806-5E9C-4752-B492-BE59D6D5AD4B}" sibTransId="{68E30071-F721-41B0-8CF6-8A9C643F5C03}"/>
    <dgm:cxn modelId="{A7F7BC59-BEEB-4406-AD92-65CDC92478B2}" type="presOf" srcId="{E4916734-EB59-4C18-BA69-CF1D8A270980}" destId="{5D425CF4-BB3A-4DA8-9F53-7C1E3EFCAB9A}" srcOrd="0" destOrd="0" presId="urn:microsoft.com/office/officeart/2005/8/layout/hProcess9"/>
    <dgm:cxn modelId="{200EDCB8-2E0C-478C-A3E8-52C80AA4374F}" type="presOf" srcId="{E438D61B-5862-4D8F-91D8-A3583B30C9D0}" destId="{CAF16C99-8EFC-4319-B69F-3D35978D736E}" srcOrd="0" destOrd="0" presId="urn:microsoft.com/office/officeart/2005/8/layout/hProcess9"/>
    <dgm:cxn modelId="{DACD20CD-128D-41BB-879B-F28A4A2E9F5F}" srcId="{E438D61B-5862-4D8F-91D8-A3583B30C9D0}" destId="{2BEC22FC-996D-482B-956C-2DA77E909965}" srcOrd="1" destOrd="0" parTransId="{27F01460-7B5B-4DD3-84A4-94770EA7D48D}" sibTransId="{D084B224-3897-4780-BC68-0B480E0C6044}"/>
    <dgm:cxn modelId="{37DF3DEC-9083-4ACD-9886-4AC6E13BF416}" type="presOf" srcId="{D1439CFB-CB45-4680-A733-D7324660DDAF}" destId="{7E43A351-EB71-469F-93E5-E6F44CF72341}" srcOrd="0" destOrd="0" presId="urn:microsoft.com/office/officeart/2005/8/layout/hProcess9"/>
    <dgm:cxn modelId="{B19570FF-47E7-49BD-9695-DE3196BF966F}" type="presOf" srcId="{2BEC22FC-996D-482B-956C-2DA77E909965}" destId="{D237AB86-F98D-4C33-9C1D-36AAA27490D5}" srcOrd="0" destOrd="0" presId="urn:microsoft.com/office/officeart/2005/8/layout/hProcess9"/>
    <dgm:cxn modelId="{DEE2E38A-F2B9-4B34-B27E-6C7F2B454934}" type="presParOf" srcId="{CAF16C99-8EFC-4319-B69F-3D35978D736E}" destId="{50F22844-401C-4FB3-B587-C59FB6CB1D35}" srcOrd="0" destOrd="0" presId="urn:microsoft.com/office/officeart/2005/8/layout/hProcess9"/>
    <dgm:cxn modelId="{3A5D8394-BCB5-4895-AAED-7B5DCE0D9D9D}" type="presParOf" srcId="{CAF16C99-8EFC-4319-B69F-3D35978D736E}" destId="{C01CEF8F-DF92-4F60-802D-4956F43BBE65}" srcOrd="1" destOrd="0" presId="urn:microsoft.com/office/officeart/2005/8/layout/hProcess9"/>
    <dgm:cxn modelId="{BC62C978-3EC6-4E9F-929F-836080DD84D1}" type="presParOf" srcId="{C01CEF8F-DF92-4F60-802D-4956F43BBE65}" destId="{5D425CF4-BB3A-4DA8-9F53-7C1E3EFCAB9A}" srcOrd="0" destOrd="0" presId="urn:microsoft.com/office/officeart/2005/8/layout/hProcess9"/>
    <dgm:cxn modelId="{A65964DA-A151-4FA6-8CC8-AD3C97E7D936}" type="presParOf" srcId="{C01CEF8F-DF92-4F60-802D-4956F43BBE65}" destId="{7F2E6EF7-189C-4FAB-BF5A-1D1C5F5D8537}" srcOrd="1" destOrd="0" presId="urn:microsoft.com/office/officeart/2005/8/layout/hProcess9"/>
    <dgm:cxn modelId="{49125617-F80E-42E6-9C73-4897E4BE8DF4}" type="presParOf" srcId="{C01CEF8F-DF92-4F60-802D-4956F43BBE65}" destId="{D237AB86-F98D-4C33-9C1D-36AAA27490D5}" srcOrd="2" destOrd="0" presId="urn:microsoft.com/office/officeart/2005/8/layout/hProcess9"/>
    <dgm:cxn modelId="{596FD912-C8C9-4D5A-B337-F199CF4B0DE7}" type="presParOf" srcId="{C01CEF8F-DF92-4F60-802D-4956F43BBE65}" destId="{A8728CCA-383E-4BB4-A454-6FDAF1DFD2A5}" srcOrd="3" destOrd="0" presId="urn:microsoft.com/office/officeart/2005/8/layout/hProcess9"/>
    <dgm:cxn modelId="{F78C97F9-3B63-42ED-ADA2-B21CBFC3AEF8}" type="presParOf" srcId="{C01CEF8F-DF92-4F60-802D-4956F43BBE65}" destId="{7E43A351-EB71-469F-93E5-E6F44CF72341}"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F22844-401C-4FB3-B587-C59FB6CB1D35}">
      <dsp:nvSpPr>
        <dsp:cNvPr id="0" name=""/>
        <dsp:cNvSpPr/>
      </dsp:nvSpPr>
      <dsp:spPr>
        <a:xfrm>
          <a:off x="411479" y="0"/>
          <a:ext cx="4663440" cy="3657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D425CF4-BB3A-4DA8-9F53-7C1E3EFCAB9A}">
      <dsp:nvSpPr>
        <dsp:cNvPr id="0" name=""/>
        <dsp:cNvSpPr/>
      </dsp:nvSpPr>
      <dsp:spPr>
        <a:xfrm>
          <a:off x="185916" y="1097279"/>
          <a:ext cx="1645920" cy="14630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Rest and Restore</a:t>
          </a:r>
        </a:p>
      </dsp:txBody>
      <dsp:txXfrm>
        <a:off x="257336" y="1168699"/>
        <a:ext cx="1503080" cy="1320200"/>
      </dsp:txXfrm>
    </dsp:sp>
    <dsp:sp modelId="{D237AB86-F98D-4C33-9C1D-36AAA27490D5}">
      <dsp:nvSpPr>
        <dsp:cNvPr id="0" name=""/>
        <dsp:cNvSpPr/>
      </dsp:nvSpPr>
      <dsp:spPr>
        <a:xfrm>
          <a:off x="1920240" y="1097279"/>
          <a:ext cx="1645920" cy="14630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Open Space Gardens</a:t>
          </a:r>
        </a:p>
      </dsp:txBody>
      <dsp:txXfrm>
        <a:off x="1991660" y="1168699"/>
        <a:ext cx="1503080" cy="1320200"/>
      </dsp:txXfrm>
    </dsp:sp>
    <dsp:sp modelId="{7E43A351-EB71-469F-93E5-E6F44CF72341}">
      <dsp:nvSpPr>
        <dsp:cNvPr id="0" name=""/>
        <dsp:cNvSpPr/>
      </dsp:nvSpPr>
      <dsp:spPr>
        <a:xfrm>
          <a:off x="3654563" y="1097279"/>
          <a:ext cx="1645920" cy="14630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Neighbor to Neighbor</a:t>
          </a:r>
        </a:p>
      </dsp:txBody>
      <dsp:txXfrm>
        <a:off x="3725983" y="1168699"/>
        <a:ext cx="1503080" cy="13202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968DBB8E764E029CBFB7BBCC07FD91"/>
        <w:category>
          <w:name w:val="General"/>
          <w:gallery w:val="placeholder"/>
        </w:category>
        <w:types>
          <w:type w:val="bbPlcHdr"/>
        </w:types>
        <w:behaviors>
          <w:behavior w:val="content"/>
        </w:behaviors>
        <w:guid w:val="{B1391233-D44B-4A8F-B2BD-420978D8244F}"/>
      </w:docPartPr>
      <w:docPartBody>
        <w:p w:rsidR="00000000" w:rsidRDefault="00A842A4" w:rsidP="00A842A4">
          <w:pPr>
            <w:pStyle w:val="72968DBB8E764E029CBFB7BBCC07FD9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A4"/>
    <w:rsid w:val="00174A9E"/>
    <w:rsid w:val="00A84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968DBB8E764E029CBFB7BBCC07FD91">
    <w:name w:val="72968DBB8E764E029CBFB7BBCC07FD91"/>
    <w:rsid w:val="00A84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radingEngineProps xmlns="http://tempuri.org/temp">
  <UserID>{d5b91fdb-3501-40c2-b7cd-211c8fb47b3f}</UserID>
  <AssignmentID>{d5b91fdb-3501-40c2-b7cd-211c8fb47b3f}</AssignmentID>
</GradingEngineProp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6EC2CD-F9A4-461D-97F4-D441BBD9E5B3}">
  <ds:schemaRefs>
    <ds:schemaRef ds:uri="http://tempuri.org/temp"/>
  </ds:schemaRefs>
</ds:datastoreItem>
</file>

<file path=customXml/itemProps2.xml><?xml version="1.0" encoding="utf-8"?>
<ds:datastoreItem xmlns:ds="http://schemas.openxmlformats.org/officeDocument/2006/customXml" ds:itemID="{54C2073E-A6D4-4667-8F79-015C3BD9F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Omaha Time Exchange</dc:title>
  <dc:subject>Annual Report</dc:subject>
  <dc:creator>© 2018 Cengage Learning. All rights reserved.</dc:creator>
  <cp:keywords/>
  <dc:description/>
  <cp:lastModifiedBy>Adam Kistler</cp:lastModifiedBy>
  <cp:revision>4</cp:revision>
  <dcterms:created xsi:type="dcterms:W3CDTF">2019-08-22T23:02:00Z</dcterms:created>
  <dcterms:modified xsi:type="dcterms:W3CDTF">2019-08-22T23:27:00Z</dcterms:modified>
</cp:coreProperties>
</file>