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7908934"/>
        <w:docPartObj>
          <w:docPartGallery w:val="Cover Pages"/>
          <w:docPartUnique/>
        </w:docPartObj>
      </w:sdtPr>
      <w:sdtContent>
        <w:p w:rsidR="004A32D0" w:rsidRDefault="004A32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A32D0" w:rsidRDefault="004A32D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Adam Kulasiak, Patrycja Wiater</w:t>
                                      </w:r>
                                    </w:p>
                                  </w:sdtContent>
                                </w:sdt>
                                <w:p w:rsidR="004A32D0" w:rsidRDefault="004A32D0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A32D0" w:rsidRDefault="004A32D0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Currency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Bank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A32D0" w:rsidRDefault="004A32D0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Bank walutowy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A32D0" w:rsidRDefault="004A32D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Adam Kulasiak, Patrycja Wiater</w:t>
                                </w:r>
                              </w:p>
                            </w:sdtContent>
                          </w:sdt>
                          <w:p w:rsidR="004A32D0" w:rsidRDefault="004A32D0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A32D0" w:rsidRDefault="004A32D0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Currency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Bank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A32D0" w:rsidRDefault="004A32D0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Bank walutowy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A32D0" w:rsidRDefault="004A32D0">
          <w:r>
            <w:br w:type="page"/>
          </w:r>
        </w:p>
      </w:sdtContent>
    </w:sdt>
    <w:sdt>
      <w:sdtPr>
        <w:id w:val="1276754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A32D0" w:rsidRDefault="004A32D0">
          <w:pPr>
            <w:pStyle w:val="Nagwekspisutreci"/>
          </w:pPr>
          <w:r>
            <w:t>Spis treści</w:t>
          </w:r>
        </w:p>
        <w:p w:rsidR="00C82B79" w:rsidRDefault="004A32D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58360" w:history="1">
            <w:r w:rsidR="00C82B79" w:rsidRPr="003D1878">
              <w:rPr>
                <w:rStyle w:val="Hipercze"/>
                <w:noProof/>
              </w:rPr>
              <w:t>Opis ogólny</w:t>
            </w:r>
            <w:r w:rsidR="00C82B79">
              <w:rPr>
                <w:noProof/>
                <w:webHidden/>
              </w:rPr>
              <w:tab/>
            </w:r>
            <w:r w:rsidR="00C82B79">
              <w:rPr>
                <w:noProof/>
                <w:webHidden/>
              </w:rPr>
              <w:fldChar w:fldCharType="begin"/>
            </w:r>
            <w:r w:rsidR="00C82B79">
              <w:rPr>
                <w:noProof/>
                <w:webHidden/>
              </w:rPr>
              <w:instrText xml:space="preserve"> PAGEREF _Toc29158360 \h </w:instrText>
            </w:r>
            <w:r w:rsidR="00C82B79">
              <w:rPr>
                <w:noProof/>
                <w:webHidden/>
              </w:rPr>
            </w:r>
            <w:r w:rsidR="00C82B79">
              <w:rPr>
                <w:noProof/>
                <w:webHidden/>
              </w:rPr>
              <w:fldChar w:fldCharType="separate"/>
            </w:r>
            <w:r w:rsidR="00C82B79">
              <w:rPr>
                <w:noProof/>
                <w:webHidden/>
              </w:rPr>
              <w:t>2</w:t>
            </w:r>
            <w:r w:rsidR="00C82B79"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1" w:history="1">
            <w:r w:rsidRPr="003D1878">
              <w:rPr>
                <w:rStyle w:val="Hipercze"/>
                <w:noProof/>
              </w:rPr>
              <w:t>Login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2" w:history="1">
            <w:r w:rsidRPr="003D1878">
              <w:rPr>
                <w:rStyle w:val="Hipercze"/>
                <w:noProof/>
              </w:rPr>
              <w:t>Register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3" w:history="1">
            <w:r w:rsidRPr="003D1878">
              <w:rPr>
                <w:rStyle w:val="Hipercze"/>
                <w:noProof/>
              </w:rPr>
              <w:t>Main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4" w:history="1">
            <w:r w:rsidRPr="003D1878">
              <w:rPr>
                <w:rStyle w:val="Hipercze"/>
                <w:noProof/>
              </w:rPr>
              <w:t>Account Opening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5" w:history="1">
            <w:r w:rsidRPr="003D1878">
              <w:rPr>
                <w:rStyle w:val="Hipercze"/>
                <w:noProof/>
              </w:rPr>
              <w:t>New Transfer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6" w:history="1">
            <w:r w:rsidRPr="003D1878">
              <w:rPr>
                <w:rStyle w:val="Hipercze"/>
                <w:noProof/>
              </w:rPr>
              <w:t>Exchange Window: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7" w:history="1">
            <w:r w:rsidRPr="003D1878">
              <w:rPr>
                <w:rStyle w:val="Hipercze"/>
                <w:noProof/>
              </w:rPr>
              <w:t>Other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8" w:history="1">
            <w:r w:rsidRPr="003D1878">
              <w:rPr>
                <w:rStyle w:val="Hipercze"/>
                <w:noProof/>
              </w:rPr>
              <w:t>Instalacja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B79" w:rsidRDefault="00C82B79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9158369" w:history="1">
            <w:r w:rsidRPr="003D1878">
              <w:rPr>
                <w:rStyle w:val="Hipercze"/>
                <w:noProof/>
              </w:rPr>
              <w:t>Końcowe dane techniczne: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2D0" w:rsidRDefault="004A32D0" w:rsidP="004A32D0">
          <w:r>
            <w:rPr>
              <w:b/>
              <w:bCs/>
            </w:rPr>
            <w:fldChar w:fldCharType="end"/>
          </w:r>
        </w:p>
      </w:sdtContent>
    </w:sdt>
    <w:p w:rsidR="004A32D0" w:rsidRDefault="004A32D0">
      <w:r>
        <w:br w:type="page"/>
      </w:r>
    </w:p>
    <w:p w:rsidR="006E318A" w:rsidRDefault="004A32D0" w:rsidP="001100E3">
      <w:pPr>
        <w:pStyle w:val="Nagwek1"/>
      </w:pPr>
      <w:bookmarkStart w:id="0" w:name="_Toc29158360"/>
      <w:r>
        <w:lastRenderedPageBreak/>
        <w:t>Opis ogólny</w:t>
      </w:r>
      <w:bookmarkEnd w:id="0"/>
    </w:p>
    <w:p w:rsidR="004A32D0" w:rsidRDefault="004A32D0" w:rsidP="004A32D0">
      <w:r>
        <w:t xml:space="preserve">Aplikacja </w:t>
      </w:r>
      <w:proofErr w:type="spellStart"/>
      <w:r>
        <w:t>Currency</w:t>
      </w:r>
      <w:proofErr w:type="spellEnd"/>
      <w:r>
        <w:t xml:space="preserve"> Bank – Bank Walutowy to narzędzie służące głównie do przechowywania</w:t>
      </w:r>
      <w:r w:rsidR="001100E3">
        <w:t xml:space="preserve"> </w:t>
      </w:r>
      <w:r>
        <w:t>pieniędzy. Mogą być</w:t>
      </w:r>
      <w:r w:rsidR="001100E3">
        <w:t xml:space="preserve"> one</w:t>
      </w:r>
      <w:r>
        <w:t xml:space="preserve"> przechowywane w różnych walutach dzięki automatycznemu przewalutowaniu. Aplikacja umożliwia wypłatę oraz wpłatę wybranej kwoty, przelewy zwykłe oraz międzywalutowe, posiadanie kilku kont w różnych walutach, przelewy wewnętrzne służące zmia</w:t>
      </w:r>
      <w:r w:rsidR="00606435">
        <w:t xml:space="preserve">nie </w:t>
      </w:r>
      <w:r>
        <w:t>waluty. Konta można bez ograniczeń tworzyć i usuwać. Aplikacja szczególnie może spodobać się osobom które dużo podróżują bądź</w:t>
      </w:r>
      <w:r w:rsidR="00606435">
        <w:t xml:space="preserve"> kupują produkty od lokalnych wytwórców na zagranicznych stronach internetowych.</w:t>
      </w:r>
      <w:r w:rsidR="00A220D1">
        <w:t xml:space="preserve"> </w:t>
      </w:r>
      <w:r w:rsidR="001D08F1">
        <w:t xml:space="preserve">Dzięki zastosowaniu dwujęzycznych tłumaczeń z aplikacji mogą korzystać </w:t>
      </w:r>
      <w:r w:rsidR="00E922F4">
        <w:t>klienci z różnych części świata.</w:t>
      </w:r>
    </w:p>
    <w:p w:rsidR="00606435" w:rsidRDefault="00606435" w:rsidP="004A32D0">
      <w:r>
        <w:t xml:space="preserve">Poniższy opis podzielony zostanie pod względem funkcjonalności a </w:t>
      </w:r>
      <w:r w:rsidR="00E922F4">
        <w:t xml:space="preserve">także </w:t>
      </w:r>
      <w:r>
        <w:t>będzie zawierał informacje dotyczące strony biznesowej oraz deweloperskiej.</w:t>
      </w:r>
    </w:p>
    <w:p w:rsidR="00606435" w:rsidRDefault="00606435" w:rsidP="004A32D0"/>
    <w:p w:rsidR="00606435" w:rsidRDefault="00606435" w:rsidP="001100E3">
      <w:pPr>
        <w:pStyle w:val="Nagwek1"/>
      </w:pPr>
      <w:bookmarkStart w:id="1" w:name="_Toc29158361"/>
      <w:r>
        <w:t>Login window:</w:t>
      </w:r>
      <w:bookmarkEnd w:id="1"/>
      <w:r>
        <w:t xml:space="preserve"> </w:t>
      </w:r>
    </w:p>
    <w:p w:rsidR="00606435" w:rsidRDefault="00606435" w:rsidP="00606435">
      <w:r>
        <w:t xml:space="preserve">Okienkiem startowym aplikacji jest okienko logowania z którego w razie braku posiadania konta można przejść do rejestracji. </w:t>
      </w:r>
      <w:r w:rsidR="00366320">
        <w:t>Logowanie odbywa się poprzez podanie loginu oraz hasła ustalonego podczas rejestracji. Zalogowany użytkownik uzyskuje dostęp do głównego okna z przeglądem swoich kont.</w:t>
      </w:r>
    </w:p>
    <w:p w:rsidR="00366320" w:rsidRDefault="00366320" w:rsidP="001100E3">
      <w:pPr>
        <w:pStyle w:val="Nagwek1"/>
      </w:pPr>
      <w:bookmarkStart w:id="2" w:name="_Toc29158362"/>
      <w:r>
        <w:t>Register window:</w:t>
      </w:r>
      <w:bookmarkEnd w:id="2"/>
    </w:p>
    <w:p w:rsidR="00366320" w:rsidRDefault="00366320" w:rsidP="00366320">
      <w:r>
        <w:t>Okienko służące do rejestracji nowego klienta banku. Aby założyć konto należy uprzednio zarejestrować się w aplikacji. Dane potrzebne do rejestracji to</w:t>
      </w:r>
      <w:r w:rsidR="001100E3">
        <w:t xml:space="preserve"> -</w:t>
      </w:r>
      <w:r>
        <w:t xml:space="preserve"> oprócz wspomnianego wyżej loginu i hasła</w:t>
      </w:r>
      <w:r w:rsidR="001100E3">
        <w:t xml:space="preserve"> - imię, nazwisko, adres e-mail, pesel. Przy rejestracji system automatycznie zapisuje również datę rejestracji wraz z id nowego klienta. </w:t>
      </w:r>
    </w:p>
    <w:p w:rsidR="001100E3" w:rsidRDefault="001100E3" w:rsidP="001100E3">
      <w:pPr>
        <w:pStyle w:val="Nagwek1"/>
      </w:pPr>
      <w:bookmarkStart w:id="3" w:name="_Toc29158363"/>
      <w:r>
        <w:t>Main window:</w:t>
      </w:r>
      <w:bookmarkEnd w:id="3"/>
      <w:r>
        <w:t xml:space="preserve"> </w:t>
      </w:r>
    </w:p>
    <w:p w:rsidR="008756A0" w:rsidRDefault="001100E3" w:rsidP="001100E3">
      <w:r>
        <w:t>Główne okienko aplikacji to przegląd funkcjonalności oraz posiadanych kont</w:t>
      </w:r>
      <w:r w:rsidR="00A220D1">
        <w:t xml:space="preserve">. Poszczególne przyciski pozwalają na skorzystanie z operacji jakie oferuje bank. </w:t>
      </w:r>
      <w:r w:rsidR="00E86F6F">
        <w:t xml:space="preserve">Tabela umieszczona po lewej stronie okna przedstawia dane o posiadanych kontach: id, numer, balans oraz walutę. </w:t>
      </w:r>
    </w:p>
    <w:p w:rsidR="008756A0" w:rsidRDefault="008756A0" w:rsidP="008756A0">
      <w:pPr>
        <w:pStyle w:val="Nagwek1"/>
      </w:pPr>
      <w:bookmarkStart w:id="4" w:name="_Toc29158364"/>
      <w:proofErr w:type="spellStart"/>
      <w:r>
        <w:t>Account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Window:</w:t>
      </w:r>
      <w:bookmarkEnd w:id="4"/>
    </w:p>
    <w:p w:rsidR="001D08F1" w:rsidRDefault="001D08F1" w:rsidP="001D08F1">
      <w:r>
        <w:t xml:space="preserve">Okno służące obsłudze akcji dodawania nowego konta. Wymagane dane to wyłącznie waluta w jakiej klient chce otworzyć nowe konto. Okienko posiada przycisk umożliwiający anulację operacji. Pozostałe dane przekazywane są automatycznie na podstawie zalogowanego klienta. </w:t>
      </w:r>
    </w:p>
    <w:p w:rsidR="00D4189A" w:rsidRDefault="00D4189A" w:rsidP="00D4189A">
      <w:pPr>
        <w:pStyle w:val="Nagwek1"/>
      </w:pPr>
      <w:bookmarkStart w:id="5" w:name="_Toc29158365"/>
      <w:r>
        <w:t>New Transfer Window:</w:t>
      </w:r>
      <w:bookmarkEnd w:id="5"/>
    </w:p>
    <w:p w:rsidR="00D4189A" w:rsidRDefault="00D4189A" w:rsidP="00D4189A">
      <w:r>
        <w:t>Okno służące obsłudze przelewów. Lista rozwijana umożliwia wybór konta z którego klient chce wykonać przelew. Standardowo należy podać numer konta odbiorcy przelewu oraz kwotę. Jeżeli konto odbiorcy jest w innej walucie niż nadawcy</w:t>
      </w:r>
      <w:r w:rsidR="00E638FD">
        <w:t>,</w:t>
      </w:r>
      <w:r>
        <w:t xml:space="preserve"> kwota zostaje automatycznie przewalutowana na podstawie </w:t>
      </w:r>
      <w:r w:rsidR="00E638FD">
        <w:t xml:space="preserve">wartości pobieranej poprzez WebAPI z oficjalnej strony Narodowego Banku Polskiego. </w:t>
      </w:r>
    </w:p>
    <w:p w:rsidR="00E638FD" w:rsidRDefault="00E638FD" w:rsidP="00E638FD">
      <w:pPr>
        <w:pStyle w:val="Nagwek1"/>
      </w:pPr>
      <w:bookmarkStart w:id="6" w:name="_Toc29158366"/>
      <w:r>
        <w:t>Exchange Window:</w:t>
      </w:r>
      <w:bookmarkEnd w:id="6"/>
    </w:p>
    <w:p w:rsidR="00E638FD" w:rsidRDefault="00E638FD" w:rsidP="00E922F4">
      <w:pPr>
        <w:jc w:val="both"/>
      </w:pPr>
      <w:r>
        <w:t xml:space="preserve">Okno służące obsłudze przewalutowania kwoty przez danego klienta. Do wykonania tej akcji klient musi posiadać co najmniej dwa konta </w:t>
      </w:r>
      <w:r w:rsidR="00E922F4">
        <w:t>–</w:t>
      </w:r>
      <w:r>
        <w:t xml:space="preserve"> </w:t>
      </w:r>
      <w:r w:rsidR="00E922F4">
        <w:t xml:space="preserve">konto z którego zamierza przewalutować daną kwotę oraz konto w walucie docelowej. Listy rozwijane zapobiegają błędom polegającym na pomyłkach przy </w:t>
      </w:r>
      <w:r w:rsidR="00E922F4">
        <w:lastRenderedPageBreak/>
        <w:t xml:space="preserve">podawaniu kont. Standardowo zastosowano również przycisk umożliwiający opuszczenie okienka skutkujące anulacją operacji. </w:t>
      </w:r>
    </w:p>
    <w:p w:rsidR="004C50FE" w:rsidRDefault="00CA6AEE" w:rsidP="00CA6AEE">
      <w:pPr>
        <w:pStyle w:val="Nagwek1"/>
      </w:pPr>
      <w:bookmarkStart w:id="7" w:name="_Toc29158367"/>
      <w:r>
        <w:t>Other functionalities:</w:t>
      </w:r>
      <w:bookmarkEnd w:id="7"/>
    </w:p>
    <w:p w:rsidR="00CA6AEE" w:rsidRDefault="00CA6AEE" w:rsidP="00E922F4">
      <w:pPr>
        <w:jc w:val="both"/>
      </w:pPr>
      <w:r>
        <w:t xml:space="preserve">Inne funkcjonalności to: </w:t>
      </w:r>
    </w:p>
    <w:p w:rsidR="00CA6AEE" w:rsidRDefault="00CA6AEE" w:rsidP="00E922F4">
      <w:pPr>
        <w:jc w:val="both"/>
      </w:pPr>
      <w:r>
        <w:t>- usunięcie konta – system automatycznie blokuje próby usunięcia konta którego balans nie wynosi 0,</w:t>
      </w:r>
    </w:p>
    <w:p w:rsidR="00CA6AEE" w:rsidRDefault="00CA6AEE" w:rsidP="00E922F4">
      <w:pPr>
        <w:jc w:val="both"/>
      </w:pPr>
      <w:r>
        <w:t>- wpłata – możliwość zasilenia dowolnego konta poprzez podanie kwoty oraz wybór ID z listy rozwijanej,</w:t>
      </w:r>
    </w:p>
    <w:p w:rsidR="00CA6AEE" w:rsidRDefault="00CA6AEE" w:rsidP="00E922F4">
      <w:pPr>
        <w:jc w:val="both"/>
      </w:pPr>
      <w:r>
        <w:t>- wypłata – możliwość wypłaty dowolnej kwoty (w granicach posiadanego balansu na danym koncie)</w:t>
      </w:r>
      <w:r w:rsidR="00575719">
        <w:t xml:space="preserve"> z dowolnego konta wybieranego za pomocą listy rozwijanej pobierającej dane kont zalogowanego klienta. </w:t>
      </w:r>
    </w:p>
    <w:p w:rsidR="00575719" w:rsidRPr="00E638FD" w:rsidRDefault="00575719" w:rsidP="00575719">
      <w:pPr>
        <w:pStyle w:val="Nagwek1"/>
      </w:pPr>
      <w:bookmarkStart w:id="8" w:name="_Toc29158368"/>
      <w:r>
        <w:t>Instalacja aplikacji:</w:t>
      </w:r>
      <w:bookmarkEnd w:id="8"/>
    </w:p>
    <w:p w:rsidR="001D08F1" w:rsidRPr="001D08F1" w:rsidRDefault="001D08F1" w:rsidP="001D08F1">
      <w:pPr>
        <w:pStyle w:val="Nagwek1"/>
      </w:pPr>
      <w:bookmarkStart w:id="9" w:name="_Toc29158369"/>
      <w:r>
        <w:t>Końcowe dane techniczne:</w:t>
      </w:r>
      <w:bookmarkEnd w:id="9"/>
    </w:p>
    <w:p w:rsidR="008756A0" w:rsidRPr="008756A0" w:rsidRDefault="008756A0" w:rsidP="008756A0">
      <w:bookmarkStart w:id="10" w:name="_GoBack"/>
      <w:bookmarkEnd w:id="10"/>
    </w:p>
    <w:p w:rsidR="008756A0" w:rsidRPr="001100E3" w:rsidRDefault="008756A0" w:rsidP="001100E3"/>
    <w:p w:rsidR="001100E3" w:rsidRDefault="001100E3" w:rsidP="00366320"/>
    <w:sectPr w:rsidR="001100E3" w:rsidSect="004A32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3764B"/>
    <w:multiLevelType w:val="hybridMultilevel"/>
    <w:tmpl w:val="CB446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4"/>
    <w:rsid w:val="00072588"/>
    <w:rsid w:val="001100E3"/>
    <w:rsid w:val="001D08F1"/>
    <w:rsid w:val="00366320"/>
    <w:rsid w:val="004A32D0"/>
    <w:rsid w:val="004C50FE"/>
    <w:rsid w:val="00575719"/>
    <w:rsid w:val="005D49B4"/>
    <w:rsid w:val="00606435"/>
    <w:rsid w:val="006E318A"/>
    <w:rsid w:val="008608FD"/>
    <w:rsid w:val="008756A0"/>
    <w:rsid w:val="00A220D1"/>
    <w:rsid w:val="00C82B79"/>
    <w:rsid w:val="00CA6AEE"/>
    <w:rsid w:val="00D4189A"/>
    <w:rsid w:val="00E638FD"/>
    <w:rsid w:val="00E755F3"/>
    <w:rsid w:val="00E86F6F"/>
    <w:rsid w:val="00E922F4"/>
    <w:rsid w:val="00F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CCED"/>
  <w15:chartTrackingRefBased/>
  <w15:docId w15:val="{8B5E5C22-CDB8-4F21-9F3E-E434EB30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A3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A32D0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A32D0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A3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A32D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4A32D0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100E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10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606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Currency Bank</dc:title>
  <dc:subject>Bank walutowy</dc:subject>
  <dc:creator>Adam Kulasiak, Patrycja Wiater</dc:creator>
  <cp:keywords/>
  <dc:description/>
  <cp:lastModifiedBy>Adam Kulasiak</cp:lastModifiedBy>
  <cp:revision>10</cp:revision>
  <dcterms:created xsi:type="dcterms:W3CDTF">2020-01-05T20:13:00Z</dcterms:created>
  <dcterms:modified xsi:type="dcterms:W3CDTF">2020-01-05T22:21:00Z</dcterms:modified>
</cp:coreProperties>
</file>