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2D24" w14:textId="0D9BE7D1" w:rsidR="00944CDA" w:rsidRPr="00A0105A" w:rsidRDefault="00944CDA">
      <w:pPr>
        <w:rPr>
          <w:rFonts w:ascii="Times New Roman" w:hAnsi="Times New Roman" w:cs="Times New Roman"/>
        </w:rPr>
      </w:pPr>
      <w:r w:rsidRPr="00A0105A">
        <w:rPr>
          <w:rFonts w:ascii="Times New Roman" w:hAnsi="Times New Roman" w:cs="Times New Roman"/>
        </w:rPr>
        <w:t>Practical Data Analysis Proposal</w:t>
      </w:r>
      <w:r w:rsidR="007B6A82" w:rsidRPr="00A0105A">
        <w:rPr>
          <w:rFonts w:ascii="Times New Roman" w:hAnsi="Times New Roman" w:cs="Times New Roman"/>
        </w:rPr>
        <w:t>: Quantifying Uncertainty in Causal Effects</w:t>
      </w:r>
    </w:p>
    <w:p w14:paraId="5E5B0E26" w14:textId="663AB6D9" w:rsidR="008F4C2F" w:rsidRPr="00A0105A" w:rsidRDefault="0073129C">
      <w:pPr>
        <w:rPr>
          <w:rFonts w:ascii="Times New Roman" w:hAnsi="Times New Roman" w:cs="Times New Roman"/>
          <w:b/>
          <w:bCs/>
        </w:rPr>
      </w:pPr>
      <w:r w:rsidRPr="00A0105A">
        <w:rPr>
          <w:rFonts w:ascii="Times New Roman" w:hAnsi="Times New Roman" w:cs="Times New Roman"/>
        </w:rPr>
        <w:t xml:space="preserve">Title: </w:t>
      </w:r>
      <w:r w:rsidR="0030664E" w:rsidRPr="00A0105A">
        <w:rPr>
          <w:rFonts w:ascii="Times New Roman" w:hAnsi="Times New Roman" w:cs="Times New Roman"/>
          <w:b/>
          <w:bCs/>
        </w:rPr>
        <w:t>Bayesian Sensitivity Analysis of Model Priors and Unmeasured Confounding in Liver Transplant Allocation: A Simulation Study Based on MELD 3.0</w:t>
      </w:r>
    </w:p>
    <w:p w14:paraId="69BF1688" w14:textId="1EA7E2E5" w:rsidR="00DF7E21" w:rsidRPr="00A0105A" w:rsidRDefault="00DF7BB8" w:rsidP="00EF5B37">
      <w:pPr>
        <w:rPr>
          <w:rFonts w:ascii="Times New Roman" w:hAnsi="Times New Roman" w:cs="Times New Roman"/>
        </w:rPr>
      </w:pPr>
      <w:r w:rsidRPr="00A0105A">
        <w:rPr>
          <w:rFonts w:ascii="Times New Roman" w:hAnsi="Times New Roman" w:cs="Times New Roman"/>
        </w:rPr>
        <w:t xml:space="preserve">Preface: </w:t>
      </w:r>
      <w:proofErr w:type="gramStart"/>
      <w:r w:rsidR="00DF7E21" w:rsidRPr="00A0105A">
        <w:rPr>
          <w:rFonts w:ascii="Times New Roman" w:hAnsi="Times New Roman" w:cs="Times New Roman"/>
        </w:rPr>
        <w:t>In order to</w:t>
      </w:r>
      <w:proofErr w:type="gramEnd"/>
      <w:r w:rsidR="003C02F5" w:rsidRPr="00A0105A">
        <w:rPr>
          <w:rFonts w:ascii="Times New Roman" w:hAnsi="Times New Roman" w:cs="Times New Roman"/>
        </w:rPr>
        <w:t xml:space="preserve"> demonstrate the </w:t>
      </w:r>
      <w:r w:rsidR="006229EE" w:rsidRPr="00A0105A">
        <w:rPr>
          <w:rFonts w:ascii="Times New Roman" w:hAnsi="Times New Roman" w:cs="Times New Roman"/>
        </w:rPr>
        <w:t>concepts learned in PDA, I will use my research interest in causal inference to demonstrate a clinically relevant problem that I am</w:t>
      </w:r>
      <w:r w:rsidR="00A45446" w:rsidRPr="00A0105A">
        <w:rPr>
          <w:rFonts w:ascii="Times New Roman" w:hAnsi="Times New Roman" w:cs="Times New Roman"/>
        </w:rPr>
        <w:t xml:space="preserve"> somewhat</w:t>
      </w:r>
      <w:r w:rsidR="006229EE" w:rsidRPr="00A0105A">
        <w:rPr>
          <w:rFonts w:ascii="Times New Roman" w:hAnsi="Times New Roman" w:cs="Times New Roman"/>
        </w:rPr>
        <w:t xml:space="preserve"> familiar</w:t>
      </w:r>
      <w:r w:rsidR="00D636C3" w:rsidRPr="00A0105A">
        <w:rPr>
          <w:rFonts w:ascii="Times New Roman" w:hAnsi="Times New Roman" w:cs="Times New Roman"/>
        </w:rPr>
        <w:t xml:space="preserve"> with to aid in contextual understanding</w:t>
      </w:r>
      <w:r w:rsidR="006229EE" w:rsidRPr="00A0105A">
        <w:rPr>
          <w:rFonts w:ascii="Times New Roman" w:hAnsi="Times New Roman" w:cs="Times New Roman"/>
        </w:rPr>
        <w:t xml:space="preserve">. The project will </w:t>
      </w:r>
      <w:r w:rsidR="008F441B" w:rsidRPr="00A0105A">
        <w:rPr>
          <w:rFonts w:ascii="Times New Roman" w:hAnsi="Times New Roman" w:cs="Times New Roman"/>
        </w:rPr>
        <w:t>mainly</w:t>
      </w:r>
      <w:r w:rsidR="006229EE" w:rsidRPr="00A0105A">
        <w:rPr>
          <w:rFonts w:ascii="Times New Roman" w:hAnsi="Times New Roman" w:cs="Times New Roman"/>
        </w:rPr>
        <w:t xml:space="preserve"> revolve around using methods from Oganisian &amp; Roy (2020) and </w:t>
      </w:r>
      <w:r w:rsidR="00D203E0" w:rsidRPr="00A0105A">
        <w:rPr>
          <w:rFonts w:ascii="Times New Roman" w:hAnsi="Times New Roman" w:cs="Times New Roman"/>
        </w:rPr>
        <w:t xml:space="preserve">clinical insight from </w:t>
      </w:r>
      <w:r w:rsidR="006229EE" w:rsidRPr="00A0105A">
        <w:rPr>
          <w:rFonts w:ascii="Times New Roman" w:hAnsi="Times New Roman" w:cs="Times New Roman"/>
        </w:rPr>
        <w:t>Kim et. al. (2021)</w:t>
      </w:r>
      <w:r w:rsidR="00AC16B9" w:rsidRPr="00A0105A">
        <w:rPr>
          <w:rFonts w:ascii="Times New Roman" w:hAnsi="Times New Roman" w:cs="Times New Roman"/>
        </w:rPr>
        <w:t>.</w:t>
      </w:r>
    </w:p>
    <w:p w14:paraId="085CE1B9" w14:textId="772F3988" w:rsidR="00EF5B37" w:rsidRPr="00A0105A" w:rsidRDefault="003656BB" w:rsidP="00EF5B37">
      <w:pPr>
        <w:rPr>
          <w:rFonts w:ascii="Times New Roman" w:hAnsi="Times New Roman" w:cs="Times New Roman"/>
        </w:rPr>
      </w:pPr>
      <w:r w:rsidRPr="00A0105A">
        <w:rPr>
          <w:rFonts w:ascii="Times New Roman" w:hAnsi="Times New Roman" w:cs="Times New Roman"/>
          <w:b/>
          <w:bCs/>
        </w:rPr>
        <w:t>Abstract &amp; Motivation</w:t>
      </w:r>
      <w:r w:rsidR="00E2529C" w:rsidRPr="00A0105A">
        <w:rPr>
          <w:rFonts w:ascii="Times New Roman" w:hAnsi="Times New Roman" w:cs="Times New Roman"/>
        </w:rPr>
        <w:t xml:space="preserve">: </w:t>
      </w:r>
      <w:r w:rsidR="00EF5B37" w:rsidRPr="00A0105A">
        <w:rPr>
          <w:rFonts w:ascii="Times New Roman" w:hAnsi="Times New Roman" w:cs="Times New Roman"/>
        </w:rPr>
        <w:t>The Model for End-Stage Liver Disease (MELD) allocates organs based on mortality risk. However, the classic MELDNa score historically underestimated disease severity in women. This disparity arises because MELDNa relies on creatinine</w:t>
      </w:r>
      <w:r w:rsidR="00494D4F" w:rsidRPr="00A0105A">
        <w:rPr>
          <w:rFonts w:ascii="Times New Roman" w:hAnsi="Times New Roman" w:cs="Times New Roman"/>
        </w:rPr>
        <w:t xml:space="preserve">, </w:t>
      </w:r>
      <w:r w:rsidR="00EF5B37" w:rsidRPr="00A0105A">
        <w:rPr>
          <w:rFonts w:ascii="Times New Roman" w:hAnsi="Times New Roman" w:cs="Times New Roman"/>
        </w:rPr>
        <w:t>a marker of kidney function closely tied to muscle mass. Women, who generally have lower muscle mass (sarcopenia), present with artificially lower creatinine levels compared to men with identical renal dysfunction, leading to lower MELD scores and higher waitlist mortality (Kim et al., 2021).</w:t>
      </w:r>
    </w:p>
    <w:p w14:paraId="617AF3F1" w14:textId="6B0B6C46" w:rsidR="00470765" w:rsidRPr="00A0105A" w:rsidRDefault="00EF5B37" w:rsidP="00EF5B37">
      <w:pPr>
        <w:rPr>
          <w:rFonts w:ascii="Times New Roman" w:hAnsi="Times New Roman" w:cs="Times New Roman"/>
        </w:rPr>
      </w:pPr>
      <w:r w:rsidRPr="00A0105A">
        <w:rPr>
          <w:rFonts w:ascii="Times New Roman" w:hAnsi="Times New Roman" w:cs="Times New Roman"/>
        </w:rPr>
        <w:t xml:space="preserve">MELD 3.0 corrects this by introducing a sex-specific interaction (+1.3 points for females). </w:t>
      </w:r>
      <w:r w:rsidR="00966741" w:rsidRPr="00A0105A">
        <w:rPr>
          <w:rFonts w:ascii="Times New Roman" w:hAnsi="Times New Roman" w:cs="Times New Roman"/>
        </w:rPr>
        <w:t>The recognized sex-specific disparities in transplant outcomes provides</w:t>
      </w:r>
      <w:r w:rsidR="00956431" w:rsidRPr="00A0105A">
        <w:rPr>
          <w:rFonts w:ascii="Times New Roman" w:hAnsi="Times New Roman" w:cs="Times New Roman"/>
        </w:rPr>
        <w:t xml:space="preserve"> clinically relevant</w:t>
      </w:r>
      <w:r w:rsidR="00796B2E" w:rsidRPr="00A0105A">
        <w:rPr>
          <w:rFonts w:ascii="Times New Roman" w:hAnsi="Times New Roman" w:cs="Times New Roman"/>
        </w:rPr>
        <w:t xml:space="preserve"> and</w:t>
      </w:r>
      <w:r w:rsidR="00966741" w:rsidRPr="00A0105A">
        <w:rPr>
          <w:rFonts w:ascii="Times New Roman" w:hAnsi="Times New Roman" w:cs="Times New Roman"/>
        </w:rPr>
        <w:t xml:space="preserve"> compelling test case for Bayesian causal inference.</w:t>
      </w:r>
    </w:p>
    <w:p w14:paraId="5593B1BB" w14:textId="77777777" w:rsidR="00287B62" w:rsidRPr="00A0105A" w:rsidRDefault="00EF5B37" w:rsidP="00EF5B37">
      <w:pPr>
        <w:rPr>
          <w:rFonts w:ascii="Times New Roman" w:hAnsi="Times New Roman" w:cs="Times New Roman"/>
        </w:rPr>
      </w:pPr>
      <w:r w:rsidRPr="00A0105A">
        <w:rPr>
          <w:rFonts w:ascii="Times New Roman" w:hAnsi="Times New Roman" w:cs="Times New Roman"/>
          <w:b/>
          <w:bCs/>
        </w:rPr>
        <w:t>Objective</w:t>
      </w:r>
      <w:r w:rsidRPr="00A0105A">
        <w:rPr>
          <w:rFonts w:ascii="Times New Roman" w:hAnsi="Times New Roman" w:cs="Times New Roman"/>
        </w:rPr>
        <w:t>: To investigate how subjective prior beliefs (e.g., trusting MELDNa vs. MELD 3.0 assumptions) and causal assumptions (unmeasured sarcopenia) influence the estimation of subgroup-specific causal effects (CATEs) of a hypothetical "Pre-Transplant Nutrition Protocol."</w:t>
      </w:r>
    </w:p>
    <w:p w14:paraId="4245582F" w14:textId="77777777" w:rsidR="00F73727" w:rsidRPr="00A0105A" w:rsidRDefault="00287B62" w:rsidP="00EF5B37">
      <w:pPr>
        <w:rPr>
          <w:rFonts w:ascii="Times New Roman" w:hAnsi="Times New Roman" w:cs="Times New Roman"/>
        </w:rPr>
      </w:pPr>
      <w:r w:rsidRPr="00A0105A">
        <w:rPr>
          <w:rFonts w:ascii="Times New Roman" w:hAnsi="Times New Roman" w:cs="Times New Roman"/>
          <w:b/>
          <w:bCs/>
        </w:rPr>
        <w:t>Research Questions</w:t>
      </w:r>
      <w:r w:rsidRPr="00A0105A">
        <w:rPr>
          <w:rFonts w:ascii="Times New Roman" w:hAnsi="Times New Roman" w:cs="Times New Roman"/>
        </w:rPr>
        <w:t xml:space="preserve">: </w:t>
      </w:r>
    </w:p>
    <w:p w14:paraId="03553223" w14:textId="77777777" w:rsidR="00F73727" w:rsidRPr="00A0105A" w:rsidRDefault="00F73727" w:rsidP="00EF5B37">
      <w:pPr>
        <w:pStyle w:val="ListParagraph"/>
        <w:numPr>
          <w:ilvl w:val="0"/>
          <w:numId w:val="4"/>
        </w:numPr>
        <w:rPr>
          <w:rFonts w:ascii="Times New Roman" w:hAnsi="Times New Roman" w:cs="Times New Roman"/>
        </w:rPr>
      </w:pPr>
      <w:r w:rsidRPr="00A0105A">
        <w:rPr>
          <w:rFonts w:ascii="Times New Roman" w:hAnsi="Times New Roman" w:cs="Times New Roman"/>
          <w:b/>
          <w:bCs/>
        </w:rPr>
        <w:t>Sensitivity to Priors (Part 1):</w:t>
      </w:r>
      <w:r w:rsidRPr="00A0105A">
        <w:rPr>
          <w:rFonts w:ascii="Times New Roman" w:hAnsi="Times New Roman" w:cs="Times New Roman"/>
        </w:rPr>
        <w:t xml:space="preserve"> How does the choice of hierarchical model priors (controlling partial pooling) affect CATE estimates for sparse subgroups (e.g., elderly females), specifically when incorporating external evidence of sex disparity?</w:t>
      </w:r>
    </w:p>
    <w:p w14:paraId="37CF6B7E" w14:textId="1A2B9F1A" w:rsidR="00F73727" w:rsidRPr="00A0105A" w:rsidRDefault="00F73727" w:rsidP="00EF5B37">
      <w:pPr>
        <w:pStyle w:val="ListParagraph"/>
        <w:numPr>
          <w:ilvl w:val="0"/>
          <w:numId w:val="4"/>
        </w:numPr>
        <w:rPr>
          <w:rFonts w:ascii="Times New Roman" w:hAnsi="Times New Roman" w:cs="Times New Roman"/>
        </w:rPr>
      </w:pPr>
      <w:r w:rsidRPr="00A0105A">
        <w:rPr>
          <w:rFonts w:ascii="Times New Roman" w:hAnsi="Times New Roman" w:cs="Times New Roman"/>
          <w:b/>
          <w:bCs/>
        </w:rPr>
        <w:t>Sensitivity to Confounding (Part 2):</w:t>
      </w:r>
      <w:r w:rsidRPr="00A0105A">
        <w:rPr>
          <w:rFonts w:ascii="Times New Roman" w:hAnsi="Times New Roman" w:cs="Times New Roman"/>
        </w:rPr>
        <w:t xml:space="preserve"> How robust are these causal estimates to unmeasured confounding (e.g., sarcopenia/frailty) that drives both treatment assignment and liver decompensation?</w:t>
      </w:r>
    </w:p>
    <w:p w14:paraId="14C7F9B8" w14:textId="11921705" w:rsidR="00D501F3" w:rsidRPr="00A0105A" w:rsidRDefault="00F73727" w:rsidP="00F73727">
      <w:pPr>
        <w:rPr>
          <w:rFonts w:ascii="Times New Roman" w:hAnsi="Times New Roman" w:cs="Times New Roman"/>
        </w:rPr>
      </w:pPr>
      <w:r w:rsidRPr="00A0105A">
        <w:rPr>
          <w:rFonts w:ascii="Times New Roman" w:hAnsi="Times New Roman" w:cs="Times New Roman"/>
          <w:b/>
          <w:bCs/>
        </w:rPr>
        <w:t>Study Design &amp; Data</w:t>
      </w:r>
      <w:r w:rsidR="00C31338" w:rsidRPr="00A0105A">
        <w:rPr>
          <w:rFonts w:ascii="Times New Roman" w:hAnsi="Times New Roman" w:cs="Times New Roman"/>
          <w:b/>
          <w:bCs/>
        </w:rPr>
        <w:t xml:space="preserve">: </w:t>
      </w:r>
      <w:r w:rsidR="00D501F3" w:rsidRPr="00A0105A">
        <w:rPr>
          <w:rFonts w:ascii="Times New Roman" w:hAnsi="Times New Roman" w:cs="Times New Roman"/>
        </w:rPr>
        <w:t>We will conduct a simulation study based on the Oganisian &amp; Roy (2020) framework</w:t>
      </w:r>
      <w:r w:rsidR="00C949AC" w:rsidRPr="00A0105A">
        <w:rPr>
          <w:rFonts w:ascii="Times New Roman" w:hAnsi="Times New Roman" w:cs="Times New Roman"/>
        </w:rPr>
        <w:t>.</w:t>
      </w:r>
    </w:p>
    <w:p w14:paraId="41E0AD85" w14:textId="77777777" w:rsidR="002D6704" w:rsidRPr="00A0105A" w:rsidRDefault="00353AD2" w:rsidP="002D6704">
      <w:pPr>
        <w:pStyle w:val="ListParagraph"/>
        <w:numPr>
          <w:ilvl w:val="0"/>
          <w:numId w:val="5"/>
        </w:numPr>
        <w:rPr>
          <w:rFonts w:ascii="Times New Roman" w:hAnsi="Times New Roman" w:cs="Times New Roman"/>
        </w:rPr>
      </w:pPr>
      <w:r w:rsidRPr="00A0105A">
        <w:rPr>
          <w:rFonts w:ascii="Times New Roman" w:hAnsi="Times New Roman" w:cs="Times New Roman"/>
        </w:rPr>
        <w:t xml:space="preserve">Context: </w:t>
      </w:r>
      <w:r w:rsidRPr="00A0105A">
        <w:rPr>
          <w:rFonts w:ascii="Times New Roman" w:hAnsi="Times New Roman" w:cs="Times New Roman"/>
        </w:rPr>
        <w:t>A hypothetical observational study of an "Intensive Nutrition Protocol" aimed at reducing 90-day MELD scores.</w:t>
      </w:r>
    </w:p>
    <w:p w14:paraId="6C381A9D" w14:textId="67ACFFE6" w:rsidR="00EB475F" w:rsidRPr="00A0105A" w:rsidRDefault="00D501F3" w:rsidP="002D6704">
      <w:pPr>
        <w:pStyle w:val="ListParagraph"/>
        <w:numPr>
          <w:ilvl w:val="0"/>
          <w:numId w:val="5"/>
        </w:numPr>
        <w:rPr>
          <w:rFonts w:ascii="Times New Roman" w:hAnsi="Times New Roman" w:cs="Times New Roman"/>
        </w:rPr>
      </w:pPr>
      <w:r w:rsidRPr="00A0105A">
        <w:rPr>
          <w:rFonts w:ascii="Times New Roman" w:hAnsi="Times New Roman" w:cs="Times New Roman"/>
        </w:rPr>
        <w:t xml:space="preserve">Population: </w:t>
      </w:r>
      <m:oMath>
        <m:r>
          <w:rPr>
            <w:rFonts w:ascii="Cambria Math" w:hAnsi="Cambria Math" w:cs="Times New Roman"/>
          </w:rPr>
          <m:t>N=1000</m:t>
        </m:r>
      </m:oMath>
      <w:r w:rsidR="00E30D43" w:rsidRPr="00A0105A">
        <w:rPr>
          <w:rFonts w:ascii="Times New Roman" w:eastAsiaTheme="minorEastAsia" w:hAnsi="Times New Roman" w:cs="Times New Roman"/>
        </w:rPr>
        <w:t xml:space="preserve"> </w:t>
      </w:r>
      <w:r w:rsidRPr="00A0105A">
        <w:rPr>
          <w:rFonts w:ascii="Times New Roman" w:hAnsi="Times New Roman" w:cs="Times New Roman"/>
        </w:rPr>
        <w:t>liver transplant candidates.</w:t>
      </w:r>
    </w:p>
    <w:p w14:paraId="605CCC94" w14:textId="7837E16F" w:rsidR="00EB475F" w:rsidRPr="00A0105A" w:rsidRDefault="00D501F3" w:rsidP="00D501F3">
      <w:pPr>
        <w:pStyle w:val="ListParagraph"/>
        <w:numPr>
          <w:ilvl w:val="0"/>
          <w:numId w:val="5"/>
        </w:numPr>
        <w:rPr>
          <w:rFonts w:ascii="Times New Roman" w:hAnsi="Times New Roman" w:cs="Times New Roman"/>
        </w:rPr>
      </w:pPr>
      <w:r w:rsidRPr="00A0105A">
        <w:rPr>
          <w:rFonts w:ascii="Times New Roman" w:hAnsi="Times New Roman" w:cs="Times New Roman"/>
        </w:rPr>
        <w:t>Covariates (</w:t>
      </w:r>
      <m:oMath>
        <m:r>
          <w:rPr>
            <w:rFonts w:ascii="Cambria Math" w:hAnsi="Cambria Math" w:cs="Times New Roman"/>
          </w:rPr>
          <m:t>W</m:t>
        </m:r>
      </m:oMath>
      <w:r w:rsidRPr="00A0105A">
        <w:rPr>
          <w:rFonts w:ascii="Times New Roman" w:hAnsi="Times New Roman" w:cs="Times New Roman"/>
        </w:rPr>
        <w:t>): Sex (M/F), Age</w:t>
      </w:r>
      <w:r w:rsidR="00B84146" w:rsidRPr="00A0105A">
        <w:rPr>
          <w:rFonts w:ascii="Times New Roman" w:hAnsi="Times New Roman" w:cs="Times New Roman"/>
        </w:rPr>
        <w:t xml:space="preserve"> (</w:t>
      </w:r>
      <m:oMath>
        <m:r>
          <w:rPr>
            <w:rFonts w:ascii="Cambria Math" w:hAnsi="Cambria Math" w:cs="Times New Roman"/>
          </w:rPr>
          <m:t>&lt;60, ≥60</m:t>
        </m:r>
      </m:oMath>
      <w:r w:rsidRPr="00A0105A">
        <w:rPr>
          <w:rFonts w:ascii="Times New Roman" w:hAnsi="Times New Roman" w:cs="Times New Roman"/>
        </w:rPr>
        <w:t>), Ascites (None/Moderate).</w:t>
      </w:r>
    </w:p>
    <w:p w14:paraId="4E71ED84" w14:textId="5A42EEEF" w:rsidR="00525295" w:rsidRPr="00A0105A" w:rsidRDefault="00D501F3" w:rsidP="00D501F3">
      <w:pPr>
        <w:pStyle w:val="ListParagraph"/>
        <w:numPr>
          <w:ilvl w:val="0"/>
          <w:numId w:val="5"/>
        </w:numPr>
        <w:rPr>
          <w:rFonts w:ascii="Times New Roman" w:hAnsi="Times New Roman" w:cs="Times New Roman"/>
        </w:rPr>
      </w:pPr>
      <w:r w:rsidRPr="00A0105A">
        <w:rPr>
          <w:rFonts w:ascii="Times New Roman" w:hAnsi="Times New Roman" w:cs="Times New Roman"/>
        </w:rPr>
        <w:t>Outcome (</w:t>
      </w:r>
      <m:oMath>
        <m:r>
          <w:rPr>
            <w:rFonts w:ascii="Cambria Math" w:hAnsi="Cambria Math" w:cs="Times New Roman"/>
          </w:rPr>
          <m:t>Y</m:t>
        </m:r>
      </m:oMath>
      <w:r w:rsidRPr="00A0105A">
        <w:rPr>
          <w:rFonts w:ascii="Times New Roman" w:hAnsi="Times New Roman" w:cs="Times New Roman"/>
        </w:rPr>
        <w:t>): MELD 3.0 Score (Continuous; Lower is better).</w:t>
      </w:r>
    </w:p>
    <w:p w14:paraId="69C3AE53" w14:textId="40415BE8" w:rsidR="00DB5F4F" w:rsidRPr="00A0105A" w:rsidRDefault="00DB5F4F" w:rsidP="00D501F3">
      <w:pPr>
        <w:pStyle w:val="ListParagraph"/>
        <w:numPr>
          <w:ilvl w:val="0"/>
          <w:numId w:val="5"/>
        </w:numPr>
        <w:rPr>
          <w:rFonts w:ascii="Times New Roman" w:hAnsi="Times New Roman" w:cs="Times New Roman"/>
        </w:rPr>
      </w:pPr>
      <w:r w:rsidRPr="00A0105A">
        <w:rPr>
          <w:rFonts w:ascii="Times New Roman" w:hAnsi="Times New Roman" w:cs="Times New Roman"/>
        </w:rPr>
        <w:lastRenderedPageBreak/>
        <w:t>Unmeasured confounder (</w:t>
      </w:r>
      <m:oMath>
        <m:r>
          <w:rPr>
            <w:rFonts w:ascii="Cambria Math" w:hAnsi="Cambria Math" w:cs="Times New Roman"/>
          </w:rPr>
          <m:t>U</m:t>
        </m:r>
      </m:oMath>
      <w:r w:rsidRPr="00A0105A">
        <w:rPr>
          <w:rFonts w:ascii="Times New Roman" w:hAnsi="Times New Roman" w:cs="Times New Roman"/>
        </w:rPr>
        <w:t>): Sarcopenia/</w:t>
      </w:r>
      <w:r w:rsidR="008C5950" w:rsidRPr="00A0105A">
        <w:rPr>
          <w:rFonts w:ascii="Times New Roman" w:hAnsi="Times New Roman" w:cs="Times New Roman"/>
        </w:rPr>
        <w:t>Frailty</w:t>
      </w:r>
      <w:r w:rsidRPr="00A0105A">
        <w:rPr>
          <w:rFonts w:ascii="Times New Roman" w:hAnsi="Times New Roman" w:cs="Times New Roman"/>
        </w:rPr>
        <w:t>. In real-world registry data, muscle mass (psoas area) is rarely recorded, yet this influences both the likelihood of receiving nutrition support (treatment) and trajectory of liver failure (outcome).</w:t>
      </w:r>
    </w:p>
    <w:p w14:paraId="619F2A1C" w14:textId="7701D193" w:rsidR="002E331D" w:rsidRPr="00A0105A" w:rsidRDefault="00B845FA" w:rsidP="002E331D">
      <w:pPr>
        <w:rPr>
          <w:rFonts w:ascii="Times New Roman" w:hAnsi="Times New Roman" w:cs="Times New Roman"/>
          <w:b/>
          <w:bCs/>
        </w:rPr>
      </w:pPr>
      <w:r w:rsidRPr="00A0105A">
        <w:rPr>
          <w:rFonts w:ascii="Times New Roman" w:hAnsi="Times New Roman" w:cs="Times New Roman"/>
          <w:b/>
          <w:bCs/>
        </w:rPr>
        <w:t xml:space="preserve">Methodology: </w:t>
      </w:r>
      <w:r w:rsidR="0020788C" w:rsidRPr="00A0105A">
        <w:rPr>
          <w:rFonts w:ascii="Times New Roman" w:hAnsi="Times New Roman" w:cs="Times New Roman"/>
          <w:b/>
          <w:bCs/>
        </w:rPr>
        <w:t xml:space="preserve"> </w:t>
      </w:r>
      <w:r w:rsidR="00525295" w:rsidRPr="00A0105A">
        <w:rPr>
          <w:rFonts w:ascii="Times New Roman" w:hAnsi="Times New Roman" w:cs="Times New Roman"/>
        </w:rPr>
        <w:t>Part 1: Sensitivity to Model Priors (Partial Pooling for CATEs)</w:t>
      </w:r>
      <w:r w:rsidR="000244AA" w:rsidRPr="00A0105A">
        <w:rPr>
          <w:rFonts w:ascii="Times New Roman" w:hAnsi="Times New Roman" w:cs="Times New Roman"/>
        </w:rPr>
        <w:t xml:space="preserve">: </w:t>
      </w:r>
      <w:r w:rsidR="00A26D53" w:rsidRPr="00A0105A">
        <w:rPr>
          <w:rFonts w:ascii="Times New Roman" w:hAnsi="Times New Roman" w:cs="Times New Roman"/>
        </w:rPr>
        <w:t>I</w:t>
      </w:r>
      <w:r w:rsidR="000244AA" w:rsidRPr="00A0105A">
        <w:rPr>
          <w:rFonts w:ascii="Times New Roman" w:hAnsi="Times New Roman" w:cs="Times New Roman"/>
        </w:rPr>
        <w:t xml:space="preserve"> will employ a hierarchical Bayesian regression model to estimate Conditional Average Treatment Effects (CATEs) across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3</m:t>
            </m:r>
          </m:sup>
        </m:sSup>
        <m:r>
          <w:rPr>
            <w:rFonts w:ascii="Cambria Math" w:hAnsi="Cambria Math" w:cs="Times New Roman"/>
          </w:rPr>
          <m:t>=8</m:t>
        </m:r>
      </m:oMath>
      <w:r w:rsidR="000244AA" w:rsidRPr="00A0105A">
        <w:rPr>
          <w:rFonts w:ascii="Times New Roman" w:hAnsi="Times New Roman" w:cs="Times New Roman"/>
        </w:rPr>
        <w:t xml:space="preserve"> subgroups (e.g., Female/Ascites/Old). A hyperparameter </w:t>
      </w:r>
      <m:oMath>
        <m:r>
          <w:rPr>
            <w:rFonts w:ascii="Cambria Math" w:hAnsi="Cambria Math" w:cs="Times New Roman"/>
          </w:rPr>
          <m:t>τ</m:t>
        </m:r>
      </m:oMath>
      <w:r w:rsidR="00401B7F" w:rsidRPr="00A0105A">
        <w:rPr>
          <w:rFonts w:ascii="Times New Roman" w:hAnsi="Times New Roman" w:cs="Times New Roman"/>
        </w:rPr>
        <w:t xml:space="preserve"> </w:t>
      </w:r>
      <w:r w:rsidR="000244AA" w:rsidRPr="00A0105A">
        <w:rPr>
          <w:rFonts w:ascii="Times New Roman" w:hAnsi="Times New Roman" w:cs="Times New Roman"/>
        </w:rPr>
        <w:t>(tau) will govern the standard deviation of these CATEs, controlling the degree of partial pooling (shrinkage).</w:t>
      </w:r>
      <w:r w:rsidR="00C97FE5" w:rsidRPr="00A0105A">
        <w:rPr>
          <w:rFonts w:ascii="Times New Roman" w:hAnsi="Times New Roman" w:cs="Times New Roman"/>
        </w:rPr>
        <w:t xml:space="preserve"> I</w:t>
      </w:r>
      <w:r w:rsidR="000244AA" w:rsidRPr="00A0105A">
        <w:rPr>
          <w:rFonts w:ascii="Times New Roman" w:hAnsi="Times New Roman" w:cs="Times New Roman"/>
        </w:rPr>
        <w:t xml:space="preserve"> will compare three prior specifications for </w:t>
      </w:r>
      <m:oMath>
        <m:r>
          <w:rPr>
            <w:rFonts w:ascii="Cambria Math" w:hAnsi="Cambria Math" w:cs="Times New Roman"/>
          </w:rPr>
          <m:t>τ</m:t>
        </m:r>
      </m:oMath>
      <w:r w:rsidR="00401B7F" w:rsidRPr="00A0105A">
        <w:rPr>
          <w:rFonts w:ascii="Times New Roman" w:hAnsi="Times New Roman" w:cs="Times New Roman"/>
        </w:rPr>
        <w:t xml:space="preserve"> </w:t>
      </w:r>
      <w:r w:rsidR="000244AA" w:rsidRPr="00A0105A">
        <w:rPr>
          <w:rFonts w:ascii="Times New Roman" w:hAnsi="Times New Roman" w:cs="Times New Roman"/>
        </w:rPr>
        <w:t>to represent evolving clinical beliefs:</w:t>
      </w:r>
    </w:p>
    <w:p w14:paraId="01D6D165" w14:textId="77777777" w:rsidR="002E331D" w:rsidRPr="00A0105A" w:rsidRDefault="00401B7F" w:rsidP="00D324D8">
      <w:pPr>
        <w:rPr>
          <w:rFonts w:ascii="Times New Roman" w:hAnsi="Times New Roman" w:cs="Times New Roman"/>
        </w:rPr>
      </w:pPr>
      <w:r w:rsidRPr="00A0105A">
        <w:rPr>
          <w:rFonts w:ascii="Times New Roman" w:hAnsi="Times New Roman" w:cs="Times New Roman"/>
        </w:rPr>
        <w:t xml:space="preserve">Scenario A: Strong Pooling (The "Skeptical" Prior / </w:t>
      </w:r>
      <w:proofErr w:type="spellStart"/>
      <w:r w:rsidRPr="00A0105A">
        <w:rPr>
          <w:rFonts w:ascii="Times New Roman" w:hAnsi="Times New Roman" w:cs="Times New Roman"/>
        </w:rPr>
        <w:t>MELDNa</w:t>
      </w:r>
      <w:proofErr w:type="spellEnd"/>
      <w:r w:rsidRPr="00A0105A">
        <w:rPr>
          <w:rFonts w:ascii="Times New Roman" w:hAnsi="Times New Roman" w:cs="Times New Roman"/>
        </w:rPr>
        <w:t xml:space="preserve"> Era).</w:t>
      </w:r>
    </w:p>
    <w:p w14:paraId="5196F35E" w14:textId="445DF72E" w:rsidR="002E331D" w:rsidRPr="00A0105A" w:rsidRDefault="00401B7F" w:rsidP="002E331D">
      <w:pPr>
        <w:pStyle w:val="ListParagraph"/>
        <w:numPr>
          <w:ilvl w:val="0"/>
          <w:numId w:val="5"/>
        </w:numPr>
        <w:rPr>
          <w:rFonts w:ascii="Times New Roman" w:hAnsi="Times New Roman" w:cs="Times New Roman"/>
        </w:rPr>
      </w:pPr>
      <w:r w:rsidRPr="00A0105A">
        <w:rPr>
          <w:rFonts w:ascii="Times New Roman" w:hAnsi="Times New Roman" w:cs="Times New Roman"/>
        </w:rPr>
        <w:t>Belief: Assumes treatment effects are homogeneous across subgroups until proven otherwise</w:t>
      </w:r>
      <w:r w:rsidR="002E331D" w:rsidRPr="00A0105A">
        <w:rPr>
          <w:rFonts w:ascii="Times New Roman" w:hAnsi="Times New Roman" w:cs="Times New Roman"/>
        </w:rPr>
        <w:t xml:space="preserve">. </w:t>
      </w:r>
    </w:p>
    <w:p w14:paraId="0CE5B2AB" w14:textId="77777777" w:rsidR="00F831A1" w:rsidRPr="00A0105A" w:rsidRDefault="00401B7F" w:rsidP="000B1B61">
      <w:pPr>
        <w:pStyle w:val="ListParagraph"/>
        <w:numPr>
          <w:ilvl w:val="0"/>
          <w:numId w:val="5"/>
        </w:numPr>
        <w:rPr>
          <w:rFonts w:ascii="Times New Roman" w:hAnsi="Times New Roman" w:cs="Times New Roman"/>
        </w:rPr>
      </w:pPr>
      <w:r w:rsidRPr="00A0105A">
        <w:rPr>
          <w:rFonts w:ascii="Times New Roman" w:hAnsi="Times New Roman" w:cs="Times New Roman"/>
        </w:rPr>
        <w:t>Mechanism: Aggressive shrinkage. Estimates for females are pulled towards the population mean (dominated by males). This represents the historical bias where female physiological differences were ignored.</w:t>
      </w:r>
    </w:p>
    <w:p w14:paraId="72712097" w14:textId="77777777" w:rsidR="003519A3" w:rsidRPr="00A0105A" w:rsidRDefault="00401B7F" w:rsidP="003519A3">
      <w:pPr>
        <w:rPr>
          <w:rFonts w:ascii="Times New Roman" w:hAnsi="Times New Roman" w:cs="Times New Roman"/>
        </w:rPr>
      </w:pPr>
      <w:r w:rsidRPr="00A0105A">
        <w:rPr>
          <w:rFonts w:ascii="Times New Roman" w:hAnsi="Times New Roman" w:cs="Times New Roman"/>
        </w:rPr>
        <w:t>Scenario B: Weak Pooling (The "Data-Driven" Prior).</w:t>
      </w:r>
      <w:r w:rsidR="003519A3" w:rsidRPr="00A0105A">
        <w:rPr>
          <w:rFonts w:ascii="Times New Roman" w:hAnsi="Times New Roman" w:cs="Times New Roman"/>
        </w:rPr>
        <w:t xml:space="preserve"> </w:t>
      </w:r>
    </w:p>
    <w:p w14:paraId="6239C0EF" w14:textId="77777777" w:rsidR="000C0EED" w:rsidRPr="00A0105A" w:rsidRDefault="00401B7F" w:rsidP="000C0EED">
      <w:pPr>
        <w:pStyle w:val="ListParagraph"/>
        <w:numPr>
          <w:ilvl w:val="0"/>
          <w:numId w:val="5"/>
        </w:numPr>
        <w:rPr>
          <w:rFonts w:ascii="Times New Roman" w:hAnsi="Times New Roman" w:cs="Times New Roman"/>
        </w:rPr>
      </w:pPr>
      <w:r w:rsidRPr="00A0105A">
        <w:rPr>
          <w:rFonts w:ascii="Times New Roman" w:hAnsi="Times New Roman" w:cs="Times New Roman"/>
        </w:rPr>
        <w:t>Belief: Minimal assumptions. Allows the data to dominate the posterior.</w:t>
      </w:r>
    </w:p>
    <w:p w14:paraId="0A0F2A41" w14:textId="261A83A9" w:rsidR="00401B7F" w:rsidRPr="00A0105A" w:rsidRDefault="00401B7F" w:rsidP="000C0EED">
      <w:pPr>
        <w:pStyle w:val="ListParagraph"/>
        <w:numPr>
          <w:ilvl w:val="0"/>
          <w:numId w:val="5"/>
        </w:numPr>
        <w:rPr>
          <w:rFonts w:ascii="Times New Roman" w:hAnsi="Times New Roman" w:cs="Times New Roman"/>
        </w:rPr>
      </w:pPr>
      <w:r w:rsidRPr="00A0105A">
        <w:rPr>
          <w:rFonts w:ascii="Times New Roman" w:hAnsi="Times New Roman" w:cs="Times New Roman"/>
        </w:rPr>
        <w:t>Risk: For sparse subgroups (e.g., elderly females with ascites), estimates will be highly unstable and noisy.</w:t>
      </w:r>
    </w:p>
    <w:p w14:paraId="6543141A" w14:textId="3382B447" w:rsidR="00322E7D" w:rsidRPr="00A0105A" w:rsidRDefault="00401B7F" w:rsidP="006E03EB">
      <w:pPr>
        <w:pStyle w:val="NormalWeb"/>
        <w:rPr>
          <w:rFonts w:eastAsiaTheme="minorHAnsi"/>
          <w:kern w:val="2"/>
          <w14:ligatures w14:val="standardContextual"/>
        </w:rPr>
      </w:pPr>
      <w:r w:rsidRPr="00A0105A">
        <w:rPr>
          <w:rFonts w:eastAsiaTheme="minorHAnsi"/>
          <w:kern w:val="2"/>
          <w14:ligatures w14:val="standardContextual"/>
        </w:rPr>
        <w:t>Scenario C: Informative Pooling (The "MELD 3.0" Prior)</w:t>
      </w:r>
      <w:r w:rsidR="00322E7D" w:rsidRPr="00A0105A">
        <w:rPr>
          <w:rFonts w:eastAsiaTheme="minorHAnsi"/>
          <w:kern w:val="2"/>
          <w14:ligatures w14:val="standardContextual"/>
        </w:rPr>
        <w:t xml:space="preserve"> </w:t>
      </w:r>
    </w:p>
    <w:p w14:paraId="649372CE" w14:textId="5C34F467" w:rsidR="00322E7D" w:rsidRPr="00A0105A" w:rsidRDefault="00401B7F" w:rsidP="00322E7D">
      <w:pPr>
        <w:pStyle w:val="NormalWeb"/>
        <w:numPr>
          <w:ilvl w:val="0"/>
          <w:numId w:val="5"/>
        </w:numPr>
        <w:rPr>
          <w:rFonts w:eastAsiaTheme="minorHAnsi"/>
          <w:kern w:val="2"/>
          <w14:ligatures w14:val="standardContextual"/>
        </w:rPr>
      </w:pPr>
      <w:r w:rsidRPr="00A0105A">
        <w:rPr>
          <w:rFonts w:eastAsiaTheme="minorHAnsi"/>
          <w:kern w:val="2"/>
          <w14:ligatures w14:val="standardContextual"/>
        </w:rPr>
        <w:t>Belief: Incorporates external evidence from Kim et al. (2021)</w:t>
      </w:r>
      <w:r w:rsidR="0016588B" w:rsidRPr="00A0105A">
        <w:rPr>
          <w:rFonts w:eastAsiaTheme="minorHAnsi"/>
          <w:kern w:val="2"/>
          <w14:ligatures w14:val="standardContextual"/>
        </w:rPr>
        <w:t>.</w:t>
      </w:r>
    </w:p>
    <w:p w14:paraId="0C9CC330" w14:textId="23829B7B" w:rsidR="00401B7F" w:rsidRPr="00A0105A" w:rsidRDefault="00401B7F" w:rsidP="00322E7D">
      <w:pPr>
        <w:pStyle w:val="NormalWeb"/>
        <w:numPr>
          <w:ilvl w:val="0"/>
          <w:numId w:val="5"/>
        </w:numPr>
        <w:rPr>
          <w:rFonts w:eastAsiaTheme="minorHAnsi"/>
          <w:kern w:val="2"/>
          <w14:ligatures w14:val="standardContextual"/>
        </w:rPr>
      </w:pPr>
      <w:r w:rsidRPr="00A0105A">
        <w:rPr>
          <w:rFonts w:eastAsiaTheme="minorHAnsi"/>
          <w:kern w:val="2"/>
          <w14:ligatures w14:val="standardContextual"/>
        </w:rPr>
        <w:t>Mechanism: We place a specific prior on female subgroups that anticipates a stronger treatment benefit from nutrition (since it corrects the sarcopenia disadvantage). This "borrows strength" from external literature to stabilize estimates for sparse female subgroups.</w:t>
      </w:r>
    </w:p>
    <w:p w14:paraId="037777F2" w14:textId="42516486" w:rsidR="000B1B61" w:rsidRPr="00A0105A" w:rsidRDefault="00DC3356" w:rsidP="00051941">
      <w:pPr>
        <w:pStyle w:val="NormalWeb"/>
        <w:rPr>
          <w:rFonts w:eastAsiaTheme="minorHAnsi"/>
          <w:kern w:val="2"/>
          <w14:ligatures w14:val="standardContextual"/>
        </w:rPr>
      </w:pPr>
      <w:r w:rsidRPr="00A0105A">
        <w:rPr>
          <w:rFonts w:eastAsiaTheme="minorHAnsi"/>
          <w:kern w:val="2"/>
          <w14:ligatures w14:val="standardContextual"/>
        </w:rPr>
        <w:t>Part 2: Sensitivity to Causal Assumptions (Unmeasured Confounding)</w:t>
      </w:r>
      <w:r w:rsidR="00051941" w:rsidRPr="00A0105A">
        <w:rPr>
          <w:rFonts w:eastAsiaTheme="minorHAnsi"/>
          <w:kern w:val="2"/>
          <w14:ligatures w14:val="standardContextual"/>
        </w:rPr>
        <w:t xml:space="preserve">: </w:t>
      </w:r>
      <w:r w:rsidR="000B1B61" w:rsidRPr="00A0105A">
        <w:rPr>
          <w:rFonts w:eastAsiaTheme="minorHAnsi"/>
          <w:kern w:val="2"/>
          <w14:ligatures w14:val="standardContextual"/>
        </w:rPr>
        <w:t xml:space="preserve">Using the </w:t>
      </w:r>
      <w:r w:rsidR="00AB38D2" w:rsidRPr="00A0105A">
        <w:rPr>
          <w:rFonts w:eastAsiaTheme="minorHAnsi"/>
          <w:kern w:val="2"/>
          <w14:ligatures w14:val="standardContextual"/>
        </w:rPr>
        <w:t>w</w:t>
      </w:r>
      <w:r w:rsidR="000B1B61" w:rsidRPr="00A0105A">
        <w:rPr>
          <w:rFonts w:eastAsiaTheme="minorHAnsi"/>
          <w:kern w:val="2"/>
          <w14:ligatures w14:val="standardContextual"/>
        </w:rPr>
        <w:t xml:space="preserve">eak </w:t>
      </w:r>
      <w:r w:rsidR="00AB38D2" w:rsidRPr="00A0105A">
        <w:rPr>
          <w:rFonts w:eastAsiaTheme="minorHAnsi"/>
          <w:kern w:val="2"/>
          <w14:ligatures w14:val="standardContextual"/>
        </w:rPr>
        <w:t>p</w:t>
      </w:r>
      <w:r w:rsidR="000B1B61" w:rsidRPr="00A0105A">
        <w:rPr>
          <w:rFonts w:eastAsiaTheme="minorHAnsi"/>
          <w:kern w:val="2"/>
          <w14:ligatures w14:val="standardContextual"/>
        </w:rPr>
        <w:t>ooling model as a baseline, we will conduct a probabilistic sensitivity analysis. We acknowledge that Sarcopenia (</w:t>
      </w:r>
      <m:oMath>
        <m:r>
          <w:rPr>
            <w:rFonts w:ascii="Cambria Math" w:eastAsiaTheme="minorHAnsi" w:hAnsi="Cambria Math"/>
            <w:kern w:val="2"/>
            <w14:ligatures w14:val="standardContextual"/>
          </w:rPr>
          <m:t>U</m:t>
        </m:r>
      </m:oMath>
      <w:r w:rsidR="000B1B61" w:rsidRPr="00A0105A">
        <w:rPr>
          <w:rFonts w:eastAsiaTheme="minorHAnsi"/>
          <w:kern w:val="2"/>
          <w14:ligatures w14:val="standardContextual"/>
        </w:rPr>
        <w:t>) is missing from the dataset. Since sarcopenic patients are sicker (higher MELD) and more likely to be prescribed nutrition, the naïve analysis will suffer from confounding by indication (making the treatment look ineffective).</w:t>
      </w:r>
    </w:p>
    <w:p w14:paraId="19413072" w14:textId="46959A0E" w:rsidR="000B1B61" w:rsidRPr="00A0105A" w:rsidRDefault="000B1B61" w:rsidP="000B1B61">
      <w:pPr>
        <w:spacing w:before="100" w:beforeAutospacing="1" w:after="100" w:afterAutospacing="1" w:line="240" w:lineRule="auto"/>
        <w:rPr>
          <w:rFonts w:ascii="Times New Roman" w:hAnsi="Times New Roman" w:cs="Times New Roman"/>
        </w:rPr>
      </w:pPr>
      <w:r w:rsidRPr="00A0105A">
        <w:rPr>
          <w:rFonts w:ascii="Times New Roman" w:hAnsi="Times New Roman" w:cs="Times New Roman"/>
        </w:rPr>
        <w:t>We will introduce sensitivity parameters (</w:t>
      </w:r>
      <m:oMath>
        <m:r>
          <m:rPr>
            <m:sty m:val="p"/>
          </m:rPr>
          <w:rPr>
            <w:rFonts w:ascii="Cambria Math" w:hAnsi="Cambria Math" w:cs="Times New Roman"/>
          </w:rPr>
          <m:t>Δ</m:t>
        </m:r>
      </m:oMath>
      <w:r w:rsidRPr="00A0105A">
        <w:rPr>
          <w:rFonts w:ascii="Times New Roman" w:hAnsi="Times New Roman" w:cs="Times New Roman"/>
        </w:rPr>
        <w:t>) representing the strength of 's association with treatment (</w:t>
      </w:r>
      <m:oMath>
        <m:r>
          <w:rPr>
            <w:rFonts w:ascii="Cambria Math" w:hAnsi="Cambria Math" w:cs="Times New Roman"/>
          </w:rPr>
          <m:t>A</m:t>
        </m:r>
      </m:oMath>
      <w:r w:rsidRPr="00A0105A">
        <w:rPr>
          <w:rFonts w:ascii="Times New Roman" w:hAnsi="Times New Roman" w:cs="Times New Roman"/>
        </w:rPr>
        <w:t>) and outcome (</w:t>
      </w:r>
      <m:oMath>
        <m:r>
          <w:rPr>
            <w:rFonts w:ascii="Cambria Math" w:hAnsi="Cambria Math" w:cs="Times New Roman"/>
          </w:rPr>
          <m:t>Y</m:t>
        </m:r>
      </m:oMath>
      <w:r w:rsidRPr="00A0105A">
        <w:rPr>
          <w:rFonts w:ascii="Times New Roman" w:hAnsi="Times New Roman" w:cs="Times New Roman"/>
        </w:rPr>
        <w:t>):</w:t>
      </w:r>
    </w:p>
    <w:p w14:paraId="74EC3B5C" w14:textId="7FD719AB" w:rsidR="000B1B61" w:rsidRPr="00A0105A" w:rsidRDefault="000B1B61" w:rsidP="000B1B61">
      <w:pPr>
        <w:numPr>
          <w:ilvl w:val="0"/>
          <w:numId w:val="10"/>
        </w:numPr>
        <w:spacing w:before="100" w:beforeAutospacing="1" w:after="100" w:afterAutospacing="1" w:line="240" w:lineRule="auto"/>
        <w:rPr>
          <w:rFonts w:ascii="Times New Roman" w:hAnsi="Times New Roman" w:cs="Times New Roman"/>
        </w:rPr>
      </w:pPr>
      <w:r w:rsidRPr="00A0105A">
        <w:rPr>
          <w:rFonts w:ascii="Times New Roman" w:hAnsi="Times New Roman" w:cs="Times New Roman"/>
        </w:rPr>
        <w:t>Scenario A: Naïve Base Case. Assumes conditional ignorability (</w:t>
      </w:r>
      <m:oMath>
        <m:r>
          <m:rPr>
            <m:sty m:val="p"/>
          </m:rPr>
          <w:rPr>
            <w:rFonts w:ascii="Cambria Math" w:hAnsi="Cambria Math" w:cs="Times New Roman"/>
          </w:rPr>
          <m:t>Δ</m:t>
        </m:r>
        <m:r>
          <m:rPr>
            <m:sty m:val="p"/>
          </m:rPr>
          <w:rPr>
            <w:rFonts w:ascii="Cambria Math" w:hAnsi="Cambria Math" w:cs="Times New Roman"/>
          </w:rPr>
          <m:t>=0</m:t>
        </m:r>
      </m:oMath>
      <w:r w:rsidRPr="00A0105A">
        <w:rPr>
          <w:rFonts w:ascii="Times New Roman" w:hAnsi="Times New Roman" w:cs="Times New Roman"/>
        </w:rPr>
        <w:t>). (Assumes registry data captures all risks).</w:t>
      </w:r>
    </w:p>
    <w:p w14:paraId="25AE303C" w14:textId="7BCD4979" w:rsidR="000B1B61" w:rsidRPr="00A0105A" w:rsidRDefault="000B1B61" w:rsidP="000B1B61">
      <w:pPr>
        <w:numPr>
          <w:ilvl w:val="0"/>
          <w:numId w:val="10"/>
        </w:numPr>
        <w:spacing w:before="100" w:beforeAutospacing="1" w:after="100" w:afterAutospacing="1" w:line="240" w:lineRule="auto"/>
        <w:rPr>
          <w:rFonts w:ascii="Times New Roman" w:hAnsi="Times New Roman" w:cs="Times New Roman"/>
        </w:rPr>
      </w:pPr>
      <w:r w:rsidRPr="00A0105A">
        <w:rPr>
          <w:rFonts w:ascii="Times New Roman" w:hAnsi="Times New Roman" w:cs="Times New Roman"/>
        </w:rPr>
        <w:lastRenderedPageBreak/>
        <w:t xml:space="preserve">Scenario B: Belief-Based Perturbation. We place priors on </w:t>
      </w:r>
      <m:oMath>
        <m:r>
          <m:rPr>
            <m:sty m:val="p"/>
          </m:rPr>
          <w:rPr>
            <w:rFonts w:ascii="Cambria Math" w:hAnsi="Cambria Math" w:cs="Times New Roman"/>
          </w:rPr>
          <m:t>Δ</m:t>
        </m:r>
      </m:oMath>
      <w:r w:rsidR="00767E1D" w:rsidRPr="00A0105A">
        <w:rPr>
          <w:rFonts w:ascii="Times New Roman" w:hAnsi="Times New Roman" w:cs="Times New Roman"/>
        </w:rPr>
        <w:t xml:space="preserve"> </w:t>
      </w:r>
      <w:r w:rsidRPr="00A0105A">
        <w:rPr>
          <w:rFonts w:ascii="Times New Roman" w:hAnsi="Times New Roman" w:cs="Times New Roman"/>
        </w:rPr>
        <w:t>reflecting the clinical reality that sarcopenia increases</w:t>
      </w:r>
      <w:r w:rsidR="001217D7" w:rsidRPr="00A0105A">
        <w:rPr>
          <w:rFonts w:ascii="Times New Roman" w:hAnsi="Times New Roman" w:cs="Times New Roman"/>
        </w:rPr>
        <w:t xml:space="preserve"> by</w:t>
      </w:r>
      <w:r w:rsidR="00DE36FC" w:rsidRPr="00A0105A">
        <w:rPr>
          <w:rFonts w:ascii="Times New Roman" w:hAnsi="Times New Roman" w:cs="Times New Roman"/>
        </w:rPr>
        <w:t xml:space="preserve"> </w:t>
      </w:r>
      <m:oMath>
        <m:r>
          <m:rPr>
            <m:sty m:val="p"/>
          </m:rPr>
          <w:rPr>
            <w:rFonts w:ascii="Cambria Math" w:hAnsi="Cambria Math" w:cs="Times New Roman"/>
          </w:rPr>
          <m:t>≈4</m:t>
        </m:r>
      </m:oMath>
      <w:r w:rsidRPr="00A0105A">
        <w:rPr>
          <w:rFonts w:ascii="Times New Roman" w:hAnsi="Times New Roman" w:cs="Times New Roman"/>
        </w:rPr>
        <w:t xml:space="preserve"> MELD points and increases treatment probability. The model will marginalize over this uncertainty to produce a "bias-corrected" posterior.</w:t>
      </w:r>
    </w:p>
    <w:p w14:paraId="267D325C" w14:textId="77777777" w:rsidR="000B1B61" w:rsidRPr="00A0105A" w:rsidRDefault="000B1B61" w:rsidP="000B1B61">
      <w:pPr>
        <w:numPr>
          <w:ilvl w:val="0"/>
          <w:numId w:val="10"/>
        </w:numPr>
        <w:spacing w:before="100" w:beforeAutospacing="1" w:after="100" w:afterAutospacing="1" w:line="240" w:lineRule="auto"/>
        <w:rPr>
          <w:rFonts w:ascii="Times New Roman" w:hAnsi="Times New Roman" w:cs="Times New Roman"/>
        </w:rPr>
      </w:pPr>
      <w:r w:rsidRPr="00A0105A">
        <w:rPr>
          <w:rFonts w:ascii="Times New Roman" w:hAnsi="Times New Roman" w:cs="Times New Roman"/>
        </w:rPr>
        <w:t>Scenario C: Tipping-Point Analysis. We determine the magnitude of unmeasured confounding required to flip the clinical conclusion from "Beneficial" to "Harmful."</w:t>
      </w:r>
    </w:p>
    <w:p w14:paraId="18C7CACD" w14:textId="289917B2" w:rsidR="00CD42DB" w:rsidRPr="00A0105A" w:rsidRDefault="000B1B61" w:rsidP="002306BE">
      <w:pPr>
        <w:spacing w:before="100" w:beforeAutospacing="1" w:after="100" w:afterAutospacing="1" w:line="240" w:lineRule="auto"/>
        <w:outlineLvl w:val="2"/>
        <w:rPr>
          <w:rFonts w:ascii="Times New Roman" w:hAnsi="Times New Roman" w:cs="Times New Roman"/>
        </w:rPr>
      </w:pPr>
      <w:r w:rsidRPr="00A0105A">
        <w:rPr>
          <w:rFonts w:ascii="Times New Roman" w:hAnsi="Times New Roman" w:cs="Times New Roman"/>
        </w:rPr>
        <w:t>5. Significance</w:t>
      </w:r>
      <w:r w:rsidR="002306BE" w:rsidRPr="00A0105A">
        <w:rPr>
          <w:rFonts w:ascii="Times New Roman" w:hAnsi="Times New Roman" w:cs="Times New Roman"/>
        </w:rPr>
        <w:t xml:space="preserve">: </w:t>
      </w:r>
      <w:r w:rsidRPr="00A0105A">
        <w:rPr>
          <w:rFonts w:ascii="Times New Roman" w:hAnsi="Times New Roman" w:cs="Times New Roman"/>
        </w:rPr>
        <w:t>This study demonstrates the utility of Bayesian methods in hepatology research. Unlike frequentist approaches that often ignore external knowledge (treating every trial as a blank slate), this framework allows us to transparently encode the "MELD 3.0 correction" into our priors. It provides a mathematical framework for quantifying how much our conclusions about therapeutic efficacy rely on the assumption that we have measured all relevant frailty markers.</w:t>
      </w:r>
    </w:p>
    <w:p w14:paraId="0933887D" w14:textId="6FF062FC" w:rsidR="000B25A1" w:rsidRPr="00622A27" w:rsidRDefault="000B25A1" w:rsidP="002306BE">
      <w:pPr>
        <w:spacing w:before="100" w:beforeAutospacing="1" w:after="100" w:afterAutospacing="1" w:line="240" w:lineRule="auto"/>
        <w:outlineLvl w:val="2"/>
        <w:rPr>
          <w:rFonts w:ascii="Times New Roman" w:hAnsi="Times New Roman" w:cs="Times New Roman"/>
          <w:b/>
          <w:bCs/>
        </w:rPr>
      </w:pPr>
      <w:r w:rsidRPr="00622A27">
        <w:rPr>
          <w:rFonts w:ascii="Times New Roman" w:hAnsi="Times New Roman" w:cs="Times New Roman"/>
          <w:b/>
          <w:bCs/>
        </w:rPr>
        <w:t>References</w:t>
      </w:r>
      <w:r w:rsidRPr="00956491">
        <w:rPr>
          <w:rFonts w:ascii="Times New Roman" w:hAnsi="Times New Roman" w:cs="Times New Roman"/>
        </w:rPr>
        <w:t xml:space="preserve">: </w:t>
      </w:r>
    </w:p>
    <w:p w14:paraId="69D5FA5C" w14:textId="6BC635AB" w:rsidR="00A0105A" w:rsidRDefault="00E43172" w:rsidP="00A0105A">
      <w:pPr>
        <w:rPr>
          <w:rFonts w:ascii="Times New Roman" w:eastAsia="Times New Roman" w:hAnsi="Times New Roman" w:cs="Times New Roman"/>
          <w:kern w:val="0"/>
          <w14:ligatures w14:val="none"/>
        </w:rPr>
      </w:pPr>
      <w:r w:rsidRPr="00A0105A">
        <w:rPr>
          <w:rFonts w:ascii="Times New Roman" w:hAnsi="Times New Roman" w:cs="Times New Roman"/>
        </w:rPr>
        <w:t xml:space="preserve">[1] </w:t>
      </w:r>
      <w:r w:rsidR="00A0105A" w:rsidRPr="00A0105A">
        <w:rPr>
          <w:rFonts w:ascii="Times New Roman" w:eastAsia="Times New Roman" w:hAnsi="Times New Roman" w:cs="Times New Roman"/>
          <w:kern w:val="0"/>
          <w14:ligatures w14:val="none"/>
        </w:rPr>
        <w:t xml:space="preserve">Oganisian, A., &amp; Roy, J. A. (2021). A practical introduction to Bayesian estimation of causal effects: Parametric and nonparametric approaches. </w:t>
      </w:r>
      <w:r w:rsidR="00A0105A" w:rsidRPr="00A0105A">
        <w:rPr>
          <w:rFonts w:ascii="Times New Roman" w:eastAsia="Times New Roman" w:hAnsi="Times New Roman" w:cs="Times New Roman"/>
          <w:i/>
          <w:iCs/>
          <w:kern w:val="0"/>
          <w14:ligatures w14:val="none"/>
        </w:rPr>
        <w:t>Statistics in medicine</w:t>
      </w:r>
      <w:r w:rsidR="00A0105A" w:rsidRPr="00A0105A">
        <w:rPr>
          <w:rFonts w:ascii="Times New Roman" w:eastAsia="Times New Roman" w:hAnsi="Times New Roman" w:cs="Times New Roman"/>
          <w:kern w:val="0"/>
          <w14:ligatures w14:val="none"/>
        </w:rPr>
        <w:t xml:space="preserve">, </w:t>
      </w:r>
      <w:r w:rsidR="00A0105A" w:rsidRPr="00A0105A">
        <w:rPr>
          <w:rFonts w:ascii="Times New Roman" w:eastAsia="Times New Roman" w:hAnsi="Times New Roman" w:cs="Times New Roman"/>
          <w:i/>
          <w:iCs/>
          <w:kern w:val="0"/>
          <w14:ligatures w14:val="none"/>
        </w:rPr>
        <w:t>40</w:t>
      </w:r>
      <w:r w:rsidR="00A0105A" w:rsidRPr="00A0105A">
        <w:rPr>
          <w:rFonts w:ascii="Times New Roman" w:eastAsia="Times New Roman" w:hAnsi="Times New Roman" w:cs="Times New Roman"/>
          <w:kern w:val="0"/>
          <w14:ligatures w14:val="none"/>
        </w:rPr>
        <w:t xml:space="preserve">(2), 518–551. </w:t>
      </w:r>
      <w:hyperlink r:id="rId5" w:history="1">
        <w:r w:rsidR="00D363A6" w:rsidRPr="00CD55B9">
          <w:rPr>
            <w:rStyle w:val="Hyperlink"/>
            <w:rFonts w:ascii="Times New Roman" w:eastAsia="Times New Roman" w:hAnsi="Times New Roman" w:cs="Times New Roman"/>
            <w:kern w:val="0"/>
            <w14:ligatures w14:val="none"/>
          </w:rPr>
          <w:t>https://doi.org/10.1002/sim.8761</w:t>
        </w:r>
      </w:hyperlink>
    </w:p>
    <w:p w14:paraId="5CC8F05D" w14:textId="60AA7098" w:rsidR="00D363A6" w:rsidRPr="00D363A6" w:rsidRDefault="00D363A6" w:rsidP="005046E0">
      <w:pPr>
        <w:pStyle w:val="Heading4"/>
        <w:spacing w:beforeAutospacing="1" w:after="0" w:afterAutospacing="1" w:line="240" w:lineRule="auto"/>
        <w:rPr>
          <w:rFonts w:ascii="Times New Roman" w:eastAsia="Times New Roman" w:hAnsi="Times New Roman" w:cs="Times New Roman"/>
          <w:i w:val="0"/>
          <w:iCs w:val="0"/>
          <w:color w:val="auto"/>
          <w:kern w:val="0"/>
          <w14:ligatures w14:val="none"/>
        </w:rPr>
      </w:pPr>
      <w:r w:rsidRPr="005046E0">
        <w:rPr>
          <w:rFonts w:ascii="Times New Roman" w:eastAsia="Times New Roman" w:hAnsi="Times New Roman" w:cs="Times New Roman"/>
          <w:i w:val="0"/>
          <w:iCs w:val="0"/>
          <w:color w:val="auto"/>
          <w:kern w:val="0"/>
          <w14:ligatures w14:val="none"/>
        </w:rPr>
        <w:t xml:space="preserve">[2] </w:t>
      </w:r>
      <w:r w:rsidRPr="005046E0">
        <w:rPr>
          <w:rFonts w:ascii="Times New Roman" w:eastAsia="Times New Roman" w:hAnsi="Times New Roman" w:cs="Times New Roman"/>
          <w:i w:val="0"/>
          <w:iCs w:val="0"/>
          <w:color w:val="auto"/>
          <w:kern w:val="0"/>
          <w14:ligatures w14:val="none"/>
        </w:rPr>
        <w:t>Kim, W. Ray et al.</w:t>
      </w:r>
      <w:r w:rsidRPr="005046E0">
        <w:rPr>
          <w:rFonts w:ascii="Times New Roman" w:eastAsia="Times New Roman" w:hAnsi="Times New Roman" w:cs="Times New Roman"/>
          <w:i w:val="0"/>
          <w:iCs w:val="0"/>
          <w:color w:val="auto"/>
          <w:kern w:val="0"/>
          <w14:ligatures w14:val="none"/>
        </w:rPr>
        <w:t xml:space="preserve"> </w:t>
      </w:r>
      <w:r w:rsidR="006D2479" w:rsidRPr="005046E0">
        <w:rPr>
          <w:rFonts w:ascii="Times New Roman" w:eastAsia="Times New Roman" w:hAnsi="Times New Roman" w:cs="Times New Roman"/>
          <w:i w:val="0"/>
          <w:iCs w:val="0"/>
          <w:color w:val="auto"/>
          <w:kern w:val="0"/>
          <w14:ligatures w14:val="none"/>
        </w:rPr>
        <w:t xml:space="preserve">(2021) </w:t>
      </w:r>
      <w:r w:rsidRPr="005046E0">
        <w:rPr>
          <w:rFonts w:ascii="Times New Roman" w:eastAsia="Times New Roman" w:hAnsi="Times New Roman" w:cs="Times New Roman"/>
          <w:i w:val="0"/>
          <w:iCs w:val="0"/>
          <w:color w:val="auto"/>
          <w:kern w:val="0"/>
          <w14:ligatures w14:val="none"/>
        </w:rPr>
        <w:t>MELD 3.0: The Model for End-Stage Liver Disease Updated for the Modern Era</w:t>
      </w:r>
      <w:r w:rsidRPr="005046E0">
        <w:rPr>
          <w:rFonts w:ascii="Times New Roman" w:eastAsia="Times New Roman" w:hAnsi="Times New Roman" w:cs="Times New Roman"/>
          <w:i w:val="0"/>
          <w:iCs w:val="0"/>
          <w:color w:val="auto"/>
          <w:kern w:val="0"/>
          <w14:ligatures w14:val="none"/>
        </w:rPr>
        <w:t xml:space="preserve"> </w:t>
      </w:r>
      <w:r w:rsidRPr="00D363A6">
        <w:rPr>
          <w:rFonts w:ascii="Times New Roman" w:eastAsia="Times New Roman" w:hAnsi="Times New Roman" w:cs="Times New Roman"/>
          <w:color w:val="auto"/>
          <w:kern w:val="0"/>
          <w14:ligatures w14:val="none"/>
        </w:rPr>
        <w:t>Gastroenterology, 161</w:t>
      </w:r>
      <w:r w:rsidR="00C02210">
        <w:rPr>
          <w:rFonts w:ascii="Times New Roman" w:eastAsia="Times New Roman" w:hAnsi="Times New Roman" w:cs="Times New Roman"/>
          <w:i w:val="0"/>
          <w:iCs w:val="0"/>
          <w:color w:val="auto"/>
          <w:kern w:val="0"/>
          <w14:ligatures w14:val="none"/>
        </w:rPr>
        <w:t>(</w:t>
      </w:r>
      <w:r w:rsidRPr="00D363A6">
        <w:rPr>
          <w:rFonts w:ascii="Times New Roman" w:eastAsia="Times New Roman" w:hAnsi="Times New Roman" w:cs="Times New Roman"/>
          <w:i w:val="0"/>
          <w:iCs w:val="0"/>
          <w:color w:val="auto"/>
          <w:kern w:val="0"/>
          <w14:ligatures w14:val="none"/>
        </w:rPr>
        <w:t>6</w:t>
      </w:r>
      <w:r w:rsidR="00C02210">
        <w:rPr>
          <w:rFonts w:ascii="Times New Roman" w:eastAsia="Times New Roman" w:hAnsi="Times New Roman" w:cs="Times New Roman"/>
          <w:i w:val="0"/>
          <w:iCs w:val="0"/>
          <w:color w:val="auto"/>
          <w:kern w:val="0"/>
          <w14:ligatures w14:val="none"/>
        </w:rPr>
        <w:t>)</w:t>
      </w:r>
      <w:r w:rsidRPr="00D363A6">
        <w:rPr>
          <w:rFonts w:ascii="Times New Roman" w:eastAsia="Times New Roman" w:hAnsi="Times New Roman" w:cs="Times New Roman"/>
          <w:i w:val="0"/>
          <w:iCs w:val="0"/>
          <w:color w:val="auto"/>
          <w:kern w:val="0"/>
          <w14:ligatures w14:val="none"/>
        </w:rPr>
        <w:t>, 1887 - 1895.e4</w:t>
      </w:r>
      <w:r w:rsidR="00E20291">
        <w:rPr>
          <w:rFonts w:ascii="Times New Roman" w:eastAsia="Times New Roman" w:hAnsi="Times New Roman" w:cs="Times New Roman"/>
          <w:i w:val="0"/>
          <w:iCs w:val="0"/>
          <w:color w:val="auto"/>
          <w:kern w:val="0"/>
          <w14:ligatures w14:val="none"/>
        </w:rPr>
        <w:t xml:space="preserve"> </w:t>
      </w:r>
      <w:hyperlink r:id="rId6" w:history="1">
        <w:r w:rsidR="006F3056" w:rsidRPr="00CD55B9">
          <w:rPr>
            <w:rStyle w:val="Hyperlink"/>
            <w:rFonts w:ascii="Times New Roman" w:eastAsia="Times New Roman" w:hAnsi="Times New Roman" w:cs="Times New Roman"/>
            <w:i w:val="0"/>
            <w:iCs w:val="0"/>
            <w:kern w:val="0"/>
            <w14:ligatures w14:val="none"/>
          </w:rPr>
          <w:t>https://www.gastrojournal.org/article/S0016-5085(21)03469-7/fulltext</w:t>
        </w:r>
      </w:hyperlink>
      <w:r w:rsidR="006F3056">
        <w:rPr>
          <w:rFonts w:ascii="Times New Roman" w:eastAsia="Times New Roman" w:hAnsi="Times New Roman" w:cs="Times New Roman"/>
          <w:i w:val="0"/>
          <w:iCs w:val="0"/>
          <w:color w:val="auto"/>
          <w:kern w:val="0"/>
          <w14:ligatures w14:val="none"/>
        </w:rPr>
        <w:t xml:space="preserve"> </w:t>
      </w:r>
    </w:p>
    <w:p w14:paraId="389B9EF8" w14:textId="23B9FB33" w:rsidR="00D363A6" w:rsidRPr="00A0105A" w:rsidRDefault="00D363A6" w:rsidP="00A0105A">
      <w:pPr>
        <w:rPr>
          <w:rFonts w:ascii="Times New Roman" w:eastAsia="Times New Roman" w:hAnsi="Times New Roman" w:cs="Times New Roman"/>
          <w:kern w:val="0"/>
          <w14:ligatures w14:val="none"/>
        </w:rPr>
      </w:pPr>
    </w:p>
    <w:p w14:paraId="7B36D373" w14:textId="3256BB8E" w:rsidR="000B25A1" w:rsidRPr="00A0105A" w:rsidRDefault="00A0105A" w:rsidP="002306BE">
      <w:pPr>
        <w:spacing w:before="100" w:beforeAutospacing="1" w:after="100" w:afterAutospacing="1" w:line="240" w:lineRule="auto"/>
        <w:outlineLvl w:val="2"/>
        <w:rPr>
          <w:rFonts w:ascii="Times New Roman" w:hAnsi="Times New Roman" w:cs="Times New Roman"/>
        </w:rPr>
      </w:pPr>
      <w:r w:rsidRPr="00A0105A">
        <w:rPr>
          <w:rFonts w:ascii="Times New Roman" w:hAnsi="Times New Roman" w:cs="Times New Roman"/>
        </w:rPr>
        <w:t xml:space="preserve"> </w:t>
      </w:r>
    </w:p>
    <w:sectPr w:rsidR="000B25A1" w:rsidRPr="00A01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FDF"/>
    <w:multiLevelType w:val="multilevel"/>
    <w:tmpl w:val="BC78F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005F0"/>
    <w:multiLevelType w:val="hybridMultilevel"/>
    <w:tmpl w:val="690C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37DDE"/>
    <w:multiLevelType w:val="hybridMultilevel"/>
    <w:tmpl w:val="14EE5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42082D"/>
    <w:multiLevelType w:val="multilevel"/>
    <w:tmpl w:val="B29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760AF"/>
    <w:multiLevelType w:val="multilevel"/>
    <w:tmpl w:val="A73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7049D"/>
    <w:multiLevelType w:val="hybridMultilevel"/>
    <w:tmpl w:val="02E8C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A169DE"/>
    <w:multiLevelType w:val="hybridMultilevel"/>
    <w:tmpl w:val="60CC0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E367BB"/>
    <w:multiLevelType w:val="hybridMultilevel"/>
    <w:tmpl w:val="15C449BC"/>
    <w:lvl w:ilvl="0" w:tplc="0FE660B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297C89"/>
    <w:multiLevelType w:val="multilevel"/>
    <w:tmpl w:val="AC68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83C43"/>
    <w:multiLevelType w:val="multilevel"/>
    <w:tmpl w:val="303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57DE6"/>
    <w:multiLevelType w:val="hybridMultilevel"/>
    <w:tmpl w:val="D80E2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01174D"/>
    <w:multiLevelType w:val="hybridMultilevel"/>
    <w:tmpl w:val="00F04A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163935">
    <w:abstractNumId w:val="1"/>
  </w:num>
  <w:num w:numId="2" w16cid:durableId="161940649">
    <w:abstractNumId w:val="11"/>
  </w:num>
  <w:num w:numId="3" w16cid:durableId="1057555532">
    <w:abstractNumId w:val="2"/>
  </w:num>
  <w:num w:numId="4" w16cid:durableId="839387822">
    <w:abstractNumId w:val="10"/>
  </w:num>
  <w:num w:numId="5" w16cid:durableId="1012995786">
    <w:abstractNumId w:val="7"/>
  </w:num>
  <w:num w:numId="6" w16cid:durableId="1158959617">
    <w:abstractNumId w:val="8"/>
  </w:num>
  <w:num w:numId="7" w16cid:durableId="1156191121">
    <w:abstractNumId w:val="3"/>
  </w:num>
  <w:num w:numId="8" w16cid:durableId="1705060745">
    <w:abstractNumId w:val="4"/>
  </w:num>
  <w:num w:numId="9" w16cid:durableId="205456463">
    <w:abstractNumId w:val="5"/>
  </w:num>
  <w:num w:numId="10" w16cid:durableId="259219843">
    <w:abstractNumId w:val="9"/>
  </w:num>
  <w:num w:numId="11" w16cid:durableId="1868134248">
    <w:abstractNumId w:val="6"/>
  </w:num>
  <w:num w:numId="12" w16cid:durableId="9733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65D"/>
    <w:rsid w:val="0000377D"/>
    <w:rsid w:val="000244AA"/>
    <w:rsid w:val="00025AFA"/>
    <w:rsid w:val="00036E5E"/>
    <w:rsid w:val="00045151"/>
    <w:rsid w:val="00051941"/>
    <w:rsid w:val="00052A1F"/>
    <w:rsid w:val="000600B0"/>
    <w:rsid w:val="000638BF"/>
    <w:rsid w:val="00073627"/>
    <w:rsid w:val="00075789"/>
    <w:rsid w:val="00077BE0"/>
    <w:rsid w:val="00083203"/>
    <w:rsid w:val="00087290"/>
    <w:rsid w:val="00090043"/>
    <w:rsid w:val="00091868"/>
    <w:rsid w:val="00093B34"/>
    <w:rsid w:val="000A3E8E"/>
    <w:rsid w:val="000A7EDA"/>
    <w:rsid w:val="000B1B61"/>
    <w:rsid w:val="000B25A1"/>
    <w:rsid w:val="000B5E6D"/>
    <w:rsid w:val="000B7EB8"/>
    <w:rsid w:val="000C0EED"/>
    <w:rsid w:val="000C5FAE"/>
    <w:rsid w:val="000D5063"/>
    <w:rsid w:val="000E31BD"/>
    <w:rsid w:val="000F7935"/>
    <w:rsid w:val="001129CF"/>
    <w:rsid w:val="001217D7"/>
    <w:rsid w:val="00137C83"/>
    <w:rsid w:val="00146317"/>
    <w:rsid w:val="001602DA"/>
    <w:rsid w:val="0016205B"/>
    <w:rsid w:val="00164B96"/>
    <w:rsid w:val="0016588B"/>
    <w:rsid w:val="00173917"/>
    <w:rsid w:val="00183B35"/>
    <w:rsid w:val="00194FB3"/>
    <w:rsid w:val="00195BCC"/>
    <w:rsid w:val="00197ABA"/>
    <w:rsid w:val="001A06C2"/>
    <w:rsid w:val="001B0776"/>
    <w:rsid w:val="001B1997"/>
    <w:rsid w:val="001B1FE4"/>
    <w:rsid w:val="001B5626"/>
    <w:rsid w:val="001C5590"/>
    <w:rsid w:val="001C64C2"/>
    <w:rsid w:val="001D270E"/>
    <w:rsid w:val="001F71A7"/>
    <w:rsid w:val="0020788C"/>
    <w:rsid w:val="002227DE"/>
    <w:rsid w:val="002306BE"/>
    <w:rsid w:val="00232347"/>
    <w:rsid w:val="00235C55"/>
    <w:rsid w:val="0024518C"/>
    <w:rsid w:val="00253A01"/>
    <w:rsid w:val="002655BF"/>
    <w:rsid w:val="002744A1"/>
    <w:rsid w:val="00276D68"/>
    <w:rsid w:val="00277C48"/>
    <w:rsid w:val="00282BC1"/>
    <w:rsid w:val="00282E0C"/>
    <w:rsid w:val="00283C95"/>
    <w:rsid w:val="00283E48"/>
    <w:rsid w:val="002870BD"/>
    <w:rsid w:val="00287B62"/>
    <w:rsid w:val="00294868"/>
    <w:rsid w:val="002B4034"/>
    <w:rsid w:val="002C5A9B"/>
    <w:rsid w:val="002D6704"/>
    <w:rsid w:val="002D7478"/>
    <w:rsid w:val="002E239C"/>
    <w:rsid w:val="002E331D"/>
    <w:rsid w:val="002E6EF2"/>
    <w:rsid w:val="002F20E4"/>
    <w:rsid w:val="002F416A"/>
    <w:rsid w:val="0030309D"/>
    <w:rsid w:val="0030664E"/>
    <w:rsid w:val="0031135D"/>
    <w:rsid w:val="00320098"/>
    <w:rsid w:val="00322E7D"/>
    <w:rsid w:val="00330A91"/>
    <w:rsid w:val="003412E9"/>
    <w:rsid w:val="0034467B"/>
    <w:rsid w:val="00347DE6"/>
    <w:rsid w:val="0035032D"/>
    <w:rsid w:val="003519A3"/>
    <w:rsid w:val="00353AD2"/>
    <w:rsid w:val="00354C54"/>
    <w:rsid w:val="00355869"/>
    <w:rsid w:val="003559AF"/>
    <w:rsid w:val="00361089"/>
    <w:rsid w:val="00362021"/>
    <w:rsid w:val="003656BB"/>
    <w:rsid w:val="00383226"/>
    <w:rsid w:val="00396AFA"/>
    <w:rsid w:val="003A0CC7"/>
    <w:rsid w:val="003A454E"/>
    <w:rsid w:val="003A4790"/>
    <w:rsid w:val="003A5069"/>
    <w:rsid w:val="003A6B48"/>
    <w:rsid w:val="003B0DB3"/>
    <w:rsid w:val="003C02F5"/>
    <w:rsid w:val="003C05E3"/>
    <w:rsid w:val="003C7831"/>
    <w:rsid w:val="003C7A8E"/>
    <w:rsid w:val="003D088C"/>
    <w:rsid w:val="003D4A6B"/>
    <w:rsid w:val="003E42F2"/>
    <w:rsid w:val="003F4923"/>
    <w:rsid w:val="00401B7F"/>
    <w:rsid w:val="00406943"/>
    <w:rsid w:val="00441B86"/>
    <w:rsid w:val="004563DD"/>
    <w:rsid w:val="00456502"/>
    <w:rsid w:val="00470765"/>
    <w:rsid w:val="0047312B"/>
    <w:rsid w:val="00475707"/>
    <w:rsid w:val="0048231B"/>
    <w:rsid w:val="00487DDE"/>
    <w:rsid w:val="00494D4F"/>
    <w:rsid w:val="004A6C0C"/>
    <w:rsid w:val="004B0D90"/>
    <w:rsid w:val="004D1D98"/>
    <w:rsid w:val="004D57CF"/>
    <w:rsid w:val="004F1F2B"/>
    <w:rsid w:val="005046E0"/>
    <w:rsid w:val="005067B7"/>
    <w:rsid w:val="0051043E"/>
    <w:rsid w:val="005106C4"/>
    <w:rsid w:val="00513BF6"/>
    <w:rsid w:val="00525295"/>
    <w:rsid w:val="00531465"/>
    <w:rsid w:val="0056565D"/>
    <w:rsid w:val="00592F59"/>
    <w:rsid w:val="005B4090"/>
    <w:rsid w:val="005C101D"/>
    <w:rsid w:val="005C4D47"/>
    <w:rsid w:val="005E04BA"/>
    <w:rsid w:val="005E66A7"/>
    <w:rsid w:val="005E6977"/>
    <w:rsid w:val="005F20FF"/>
    <w:rsid w:val="005F5B74"/>
    <w:rsid w:val="005F67BF"/>
    <w:rsid w:val="0060092E"/>
    <w:rsid w:val="00604B8A"/>
    <w:rsid w:val="0061302D"/>
    <w:rsid w:val="0061343D"/>
    <w:rsid w:val="006220EE"/>
    <w:rsid w:val="006229EE"/>
    <w:rsid w:val="00622A27"/>
    <w:rsid w:val="00640703"/>
    <w:rsid w:val="00650D7A"/>
    <w:rsid w:val="00652CC3"/>
    <w:rsid w:val="00653856"/>
    <w:rsid w:val="00653ADF"/>
    <w:rsid w:val="006625DA"/>
    <w:rsid w:val="0067298D"/>
    <w:rsid w:val="00690921"/>
    <w:rsid w:val="00693354"/>
    <w:rsid w:val="006B39E5"/>
    <w:rsid w:val="006B582B"/>
    <w:rsid w:val="006C32AB"/>
    <w:rsid w:val="006C6B75"/>
    <w:rsid w:val="006D04A6"/>
    <w:rsid w:val="006D16C1"/>
    <w:rsid w:val="006D2479"/>
    <w:rsid w:val="006D5945"/>
    <w:rsid w:val="006D645B"/>
    <w:rsid w:val="006E03EB"/>
    <w:rsid w:val="006F3056"/>
    <w:rsid w:val="007013D5"/>
    <w:rsid w:val="00705605"/>
    <w:rsid w:val="00706BB3"/>
    <w:rsid w:val="007108BE"/>
    <w:rsid w:val="00720893"/>
    <w:rsid w:val="00723842"/>
    <w:rsid w:val="0073129C"/>
    <w:rsid w:val="007325EB"/>
    <w:rsid w:val="00741750"/>
    <w:rsid w:val="007423A7"/>
    <w:rsid w:val="0075309C"/>
    <w:rsid w:val="007566C8"/>
    <w:rsid w:val="00762E38"/>
    <w:rsid w:val="00767E1D"/>
    <w:rsid w:val="007763E3"/>
    <w:rsid w:val="00796B2E"/>
    <w:rsid w:val="007A079A"/>
    <w:rsid w:val="007A0A7D"/>
    <w:rsid w:val="007B0E23"/>
    <w:rsid w:val="007B6A82"/>
    <w:rsid w:val="007C4E98"/>
    <w:rsid w:val="007D1F9F"/>
    <w:rsid w:val="007D300E"/>
    <w:rsid w:val="007E7B5F"/>
    <w:rsid w:val="007F0490"/>
    <w:rsid w:val="007F5D8D"/>
    <w:rsid w:val="00804283"/>
    <w:rsid w:val="00804823"/>
    <w:rsid w:val="008058C5"/>
    <w:rsid w:val="00816F13"/>
    <w:rsid w:val="00827EF0"/>
    <w:rsid w:val="0083260F"/>
    <w:rsid w:val="008471DC"/>
    <w:rsid w:val="00852121"/>
    <w:rsid w:val="0086351E"/>
    <w:rsid w:val="00864B16"/>
    <w:rsid w:val="008832B9"/>
    <w:rsid w:val="00883FBF"/>
    <w:rsid w:val="00886814"/>
    <w:rsid w:val="0088747A"/>
    <w:rsid w:val="00894BE0"/>
    <w:rsid w:val="008B123D"/>
    <w:rsid w:val="008C5950"/>
    <w:rsid w:val="008C5F5E"/>
    <w:rsid w:val="008D2428"/>
    <w:rsid w:val="008E0AB4"/>
    <w:rsid w:val="008F441B"/>
    <w:rsid w:val="008F4C2F"/>
    <w:rsid w:val="00905A48"/>
    <w:rsid w:val="00905E8F"/>
    <w:rsid w:val="00915904"/>
    <w:rsid w:val="00916A02"/>
    <w:rsid w:val="00924CDE"/>
    <w:rsid w:val="0094043E"/>
    <w:rsid w:val="00944CDA"/>
    <w:rsid w:val="0094509C"/>
    <w:rsid w:val="00956431"/>
    <w:rsid w:val="00956491"/>
    <w:rsid w:val="00965FF2"/>
    <w:rsid w:val="00966741"/>
    <w:rsid w:val="00980093"/>
    <w:rsid w:val="00990848"/>
    <w:rsid w:val="009A2C4C"/>
    <w:rsid w:val="009B3272"/>
    <w:rsid w:val="009B3A93"/>
    <w:rsid w:val="009D0A2E"/>
    <w:rsid w:val="009E5E84"/>
    <w:rsid w:val="009F03C1"/>
    <w:rsid w:val="009F3EBE"/>
    <w:rsid w:val="00A0105A"/>
    <w:rsid w:val="00A03B82"/>
    <w:rsid w:val="00A07B94"/>
    <w:rsid w:val="00A12C16"/>
    <w:rsid w:val="00A15D3A"/>
    <w:rsid w:val="00A245BA"/>
    <w:rsid w:val="00A26D53"/>
    <w:rsid w:val="00A30272"/>
    <w:rsid w:val="00A30B75"/>
    <w:rsid w:val="00A407E6"/>
    <w:rsid w:val="00A4418C"/>
    <w:rsid w:val="00A45446"/>
    <w:rsid w:val="00A47E5A"/>
    <w:rsid w:val="00A54A30"/>
    <w:rsid w:val="00A6073A"/>
    <w:rsid w:val="00A637C6"/>
    <w:rsid w:val="00A65F3B"/>
    <w:rsid w:val="00AB38D2"/>
    <w:rsid w:val="00AC16B9"/>
    <w:rsid w:val="00AC6C25"/>
    <w:rsid w:val="00AC6D46"/>
    <w:rsid w:val="00AD2B12"/>
    <w:rsid w:val="00AF2E69"/>
    <w:rsid w:val="00B02877"/>
    <w:rsid w:val="00B043C3"/>
    <w:rsid w:val="00B06C5A"/>
    <w:rsid w:val="00B279F6"/>
    <w:rsid w:val="00B41C4F"/>
    <w:rsid w:val="00B423D9"/>
    <w:rsid w:val="00B46E5B"/>
    <w:rsid w:val="00B80EED"/>
    <w:rsid w:val="00B838AE"/>
    <w:rsid w:val="00B84146"/>
    <w:rsid w:val="00B845FA"/>
    <w:rsid w:val="00BB268A"/>
    <w:rsid w:val="00BB353E"/>
    <w:rsid w:val="00BC7F68"/>
    <w:rsid w:val="00BE023E"/>
    <w:rsid w:val="00BE51AF"/>
    <w:rsid w:val="00BE7D98"/>
    <w:rsid w:val="00BF0093"/>
    <w:rsid w:val="00BF1D77"/>
    <w:rsid w:val="00BF3F7E"/>
    <w:rsid w:val="00C003C4"/>
    <w:rsid w:val="00C02210"/>
    <w:rsid w:val="00C05510"/>
    <w:rsid w:val="00C05FA9"/>
    <w:rsid w:val="00C2597D"/>
    <w:rsid w:val="00C31338"/>
    <w:rsid w:val="00C31458"/>
    <w:rsid w:val="00C36653"/>
    <w:rsid w:val="00C46E3F"/>
    <w:rsid w:val="00C57A04"/>
    <w:rsid w:val="00C60CC5"/>
    <w:rsid w:val="00C63A17"/>
    <w:rsid w:val="00C66136"/>
    <w:rsid w:val="00C775AC"/>
    <w:rsid w:val="00C83F34"/>
    <w:rsid w:val="00C86284"/>
    <w:rsid w:val="00C871E9"/>
    <w:rsid w:val="00C9087E"/>
    <w:rsid w:val="00C9353B"/>
    <w:rsid w:val="00C949AC"/>
    <w:rsid w:val="00C97FE5"/>
    <w:rsid w:val="00CB10E9"/>
    <w:rsid w:val="00CB4C92"/>
    <w:rsid w:val="00CC6514"/>
    <w:rsid w:val="00CC6B5C"/>
    <w:rsid w:val="00CD42DB"/>
    <w:rsid w:val="00CE3A07"/>
    <w:rsid w:val="00CE66A2"/>
    <w:rsid w:val="00D01D50"/>
    <w:rsid w:val="00D02F5B"/>
    <w:rsid w:val="00D066F6"/>
    <w:rsid w:val="00D15ED4"/>
    <w:rsid w:val="00D16849"/>
    <w:rsid w:val="00D203E0"/>
    <w:rsid w:val="00D22AB3"/>
    <w:rsid w:val="00D324D8"/>
    <w:rsid w:val="00D363A6"/>
    <w:rsid w:val="00D44E6E"/>
    <w:rsid w:val="00D501F3"/>
    <w:rsid w:val="00D53174"/>
    <w:rsid w:val="00D54F42"/>
    <w:rsid w:val="00D636C3"/>
    <w:rsid w:val="00D67397"/>
    <w:rsid w:val="00D70FAC"/>
    <w:rsid w:val="00D71A47"/>
    <w:rsid w:val="00D73890"/>
    <w:rsid w:val="00D73AA8"/>
    <w:rsid w:val="00D7738F"/>
    <w:rsid w:val="00D924E9"/>
    <w:rsid w:val="00DA1A1B"/>
    <w:rsid w:val="00DB5F4F"/>
    <w:rsid w:val="00DB7AFD"/>
    <w:rsid w:val="00DC3356"/>
    <w:rsid w:val="00DD1BE9"/>
    <w:rsid w:val="00DD3790"/>
    <w:rsid w:val="00DE36FC"/>
    <w:rsid w:val="00DE5DD9"/>
    <w:rsid w:val="00DE73C8"/>
    <w:rsid w:val="00DF7BB8"/>
    <w:rsid w:val="00DF7E21"/>
    <w:rsid w:val="00E01B20"/>
    <w:rsid w:val="00E140E0"/>
    <w:rsid w:val="00E1442A"/>
    <w:rsid w:val="00E1653F"/>
    <w:rsid w:val="00E20291"/>
    <w:rsid w:val="00E20F9F"/>
    <w:rsid w:val="00E2529C"/>
    <w:rsid w:val="00E25A39"/>
    <w:rsid w:val="00E30D43"/>
    <w:rsid w:val="00E43172"/>
    <w:rsid w:val="00E611C4"/>
    <w:rsid w:val="00E73AA1"/>
    <w:rsid w:val="00E771A5"/>
    <w:rsid w:val="00E83888"/>
    <w:rsid w:val="00E92A7E"/>
    <w:rsid w:val="00E9305F"/>
    <w:rsid w:val="00EA0944"/>
    <w:rsid w:val="00EA1F60"/>
    <w:rsid w:val="00EA725B"/>
    <w:rsid w:val="00EB40FB"/>
    <w:rsid w:val="00EB475F"/>
    <w:rsid w:val="00EE3032"/>
    <w:rsid w:val="00EE338B"/>
    <w:rsid w:val="00EE4691"/>
    <w:rsid w:val="00EF35EA"/>
    <w:rsid w:val="00EF5B37"/>
    <w:rsid w:val="00F0020F"/>
    <w:rsid w:val="00F10C1D"/>
    <w:rsid w:val="00F271BB"/>
    <w:rsid w:val="00F320D5"/>
    <w:rsid w:val="00F324B7"/>
    <w:rsid w:val="00F60C0E"/>
    <w:rsid w:val="00F736A2"/>
    <w:rsid w:val="00F73727"/>
    <w:rsid w:val="00F831A1"/>
    <w:rsid w:val="00FA4604"/>
    <w:rsid w:val="00FB00A8"/>
    <w:rsid w:val="00FB2422"/>
    <w:rsid w:val="00FB2ED5"/>
    <w:rsid w:val="00FC4894"/>
    <w:rsid w:val="00FC5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1A206"/>
  <w15:chartTrackingRefBased/>
  <w15:docId w15:val="{EB6B1904-1D21-EE4D-9123-621E4EDF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5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5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5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5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65D"/>
    <w:rPr>
      <w:rFonts w:eastAsiaTheme="majorEastAsia" w:cstheme="majorBidi"/>
      <w:color w:val="272727" w:themeColor="text1" w:themeTint="D8"/>
    </w:rPr>
  </w:style>
  <w:style w:type="paragraph" w:styleId="Title">
    <w:name w:val="Title"/>
    <w:basedOn w:val="Normal"/>
    <w:next w:val="Normal"/>
    <w:link w:val="TitleChar"/>
    <w:uiPriority w:val="10"/>
    <w:qFormat/>
    <w:rsid w:val="0056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65D"/>
    <w:pPr>
      <w:spacing w:before="160"/>
      <w:jc w:val="center"/>
    </w:pPr>
    <w:rPr>
      <w:i/>
      <w:iCs/>
      <w:color w:val="404040" w:themeColor="text1" w:themeTint="BF"/>
    </w:rPr>
  </w:style>
  <w:style w:type="character" w:customStyle="1" w:styleId="QuoteChar">
    <w:name w:val="Quote Char"/>
    <w:basedOn w:val="DefaultParagraphFont"/>
    <w:link w:val="Quote"/>
    <w:uiPriority w:val="29"/>
    <w:rsid w:val="0056565D"/>
    <w:rPr>
      <w:i/>
      <w:iCs/>
      <w:color w:val="404040" w:themeColor="text1" w:themeTint="BF"/>
    </w:rPr>
  </w:style>
  <w:style w:type="paragraph" w:styleId="ListParagraph">
    <w:name w:val="List Paragraph"/>
    <w:basedOn w:val="Normal"/>
    <w:uiPriority w:val="34"/>
    <w:qFormat/>
    <w:rsid w:val="0056565D"/>
    <w:pPr>
      <w:ind w:left="720"/>
      <w:contextualSpacing/>
    </w:pPr>
  </w:style>
  <w:style w:type="character" w:styleId="IntenseEmphasis">
    <w:name w:val="Intense Emphasis"/>
    <w:basedOn w:val="DefaultParagraphFont"/>
    <w:uiPriority w:val="21"/>
    <w:qFormat/>
    <w:rsid w:val="0056565D"/>
    <w:rPr>
      <w:i/>
      <w:iCs/>
      <w:color w:val="0F4761" w:themeColor="accent1" w:themeShade="BF"/>
    </w:rPr>
  </w:style>
  <w:style w:type="paragraph" w:styleId="IntenseQuote">
    <w:name w:val="Intense Quote"/>
    <w:basedOn w:val="Normal"/>
    <w:next w:val="Normal"/>
    <w:link w:val="IntenseQuoteChar"/>
    <w:uiPriority w:val="30"/>
    <w:qFormat/>
    <w:rsid w:val="00565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65D"/>
    <w:rPr>
      <w:i/>
      <w:iCs/>
      <w:color w:val="0F4761" w:themeColor="accent1" w:themeShade="BF"/>
    </w:rPr>
  </w:style>
  <w:style w:type="character" w:styleId="IntenseReference">
    <w:name w:val="Intense Reference"/>
    <w:basedOn w:val="DefaultParagraphFont"/>
    <w:uiPriority w:val="32"/>
    <w:qFormat/>
    <w:rsid w:val="0056565D"/>
    <w:rPr>
      <w:b/>
      <w:bCs/>
      <w:smallCaps/>
      <w:color w:val="0F4761" w:themeColor="accent1" w:themeShade="BF"/>
      <w:spacing w:val="5"/>
    </w:rPr>
  </w:style>
  <w:style w:type="character" w:styleId="PlaceholderText">
    <w:name w:val="Placeholder Text"/>
    <w:basedOn w:val="DefaultParagraphFont"/>
    <w:uiPriority w:val="99"/>
    <w:semiHidden/>
    <w:rsid w:val="00AF2E69"/>
    <w:rPr>
      <w:color w:val="666666"/>
    </w:rPr>
  </w:style>
  <w:style w:type="paragraph" w:styleId="NormalWeb">
    <w:name w:val="Normal (Web)"/>
    <w:basedOn w:val="Normal"/>
    <w:uiPriority w:val="99"/>
    <w:unhideWhenUsed/>
    <w:rsid w:val="00401B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363A6"/>
    <w:rPr>
      <w:color w:val="467886" w:themeColor="hyperlink"/>
      <w:u w:val="single"/>
    </w:rPr>
  </w:style>
  <w:style w:type="character" w:styleId="UnresolvedMention">
    <w:name w:val="Unresolved Mention"/>
    <w:basedOn w:val="DefaultParagraphFont"/>
    <w:uiPriority w:val="99"/>
    <w:semiHidden/>
    <w:unhideWhenUsed/>
    <w:rsid w:val="00D36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strojournal.org/article/S0016-5085(21)03469-7/fulltext" TargetMode="External"/><Relationship Id="rId5" Type="http://schemas.openxmlformats.org/officeDocument/2006/relationships/hyperlink" Target="https://doi.org/10.1002/sim.87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3</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Kurth, Adam</dc:creator>
  <cp:keywords/>
  <dc:description/>
  <cp:lastModifiedBy>Kurth, Adam</cp:lastModifiedBy>
  <cp:revision>406</cp:revision>
  <dcterms:created xsi:type="dcterms:W3CDTF">2025-11-16T16:12:00Z</dcterms:created>
  <dcterms:modified xsi:type="dcterms:W3CDTF">2025-11-22T19:02:00Z</dcterms:modified>
</cp:coreProperties>
</file>