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TÀI CHÍNH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2965/QĐ-BTC</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15 tháng 10 năm 2026 </w:t>
            </w:r>
          </w:p>
        </w:tc>
      </w:tr>
    </w:tbl>
    <w:p>
      <w:pPr>
        <w:bidi w:val="0"/>
        <w:spacing w:before="120" w:beforeAutospacing="0" w:after="280" w:afterAutospacing="1"/>
      </w:pPr>
      <w:r>
        <w:rPr>
          <w:i/>
          <w:iCs/>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VỀ VIỆC CÔNG BỐ 04 THÔNG TƯ CỦA BỘ TRƯỞNG BỘ TÀI CHÍNH TIẾP TỤC CÓ HIỆU LỰC</w:t>
      </w:r>
      <w:bookmarkEnd w:id="1"/>
    </w:p>
    <w:p>
      <w:pPr>
        <w:bidi w:val="0"/>
        <w:spacing w:before="120" w:beforeAutospacing="0" w:after="280" w:afterAutospacing="1"/>
        <w:jc w:val="center"/>
      </w:pPr>
      <w:r>
        <w:rPr>
          <w:b/>
          <w:bCs/>
          <w:sz w:val="24"/>
          <w:rtl w:val="0"/>
        </w:rPr>
        <w:t>BỘ TRƯỞNG BỘ TÀI CHÍNH</w:t>
      </w:r>
    </w:p>
    <w:p>
      <w:pPr>
        <w:bidi w:val="0"/>
        <w:spacing w:before="120" w:beforeAutospacing="0" w:after="280" w:afterAutospacing="1"/>
      </w:pPr>
      <w:r>
        <w:rPr>
          <w:i/>
          <w:iCs/>
          <w:rtl w:val="0"/>
        </w:rPr>
        <w:t>Căn cứ Luật Ban hành văn bản quy phạm pháp luật số 64/2025/QH15 ngày 19 tháng 02 năm 2025 được sửa đổi, bổ sung bởi Luật số 87/2025/QH15 ngay 25 tháng 6 năm 2025;</w:t>
      </w:r>
    </w:p>
    <w:p>
      <w:pPr>
        <w:bidi w:val="0"/>
        <w:spacing w:before="120" w:beforeAutospacing="0" w:after="280" w:afterAutospacing="1"/>
      </w:pPr>
      <w:r>
        <w:rPr>
          <w:i/>
          <w:iCs/>
          <w:rtl w:val="0"/>
        </w:rPr>
        <w:t>Căn cứ Luật Quản lý và đầu tư vốn nhà nước tại doanh nghiệp số 68/2025/QH15 ngày 14 tháng 6 năm 2025;</w:t>
      </w:r>
    </w:p>
    <w:p>
      <w:pPr>
        <w:bidi w:val="0"/>
        <w:spacing w:before="120" w:beforeAutospacing="0" w:after="280" w:afterAutospacing="1"/>
      </w:pPr>
      <w:r>
        <w:rPr>
          <w:i/>
          <w:iCs/>
          <w:rtl w:val="0"/>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 ngày 01 tháng 7 năm 2025 của Chính phủ;</w:t>
      </w:r>
    </w:p>
    <w:p>
      <w:pPr>
        <w:bidi w:val="0"/>
        <w:spacing w:before="120" w:beforeAutospacing="0" w:after="280" w:afterAutospacing="1"/>
      </w:pPr>
      <w:r>
        <w:rPr>
          <w:i/>
          <w:iCs/>
          <w:rtl w:val="0"/>
        </w:rPr>
        <w:t>Căn cứ Nghị định số 79/2025/NĐ-CP ngày 01 tháng 4 năm 2025 của Chính phủ về kiểm tra, rà soát, hệ thống hóa và xử lý văn bản quy phạm pháp luật;</w:t>
      </w:r>
    </w:p>
    <w:p>
      <w:pPr>
        <w:bidi w:val="0"/>
        <w:spacing w:before="120" w:beforeAutospacing="0" w:after="280" w:afterAutospacing="1"/>
      </w:pPr>
      <w:r>
        <w:rPr>
          <w:i/>
          <w:iCs/>
          <w:rtl w:val="0"/>
        </w:rPr>
        <w:t>Căn cứ Nghị định số 358/2026/NĐ-CP ngày 15 tháng 9 năm 2026 của Chính phủ về cơ chế hoạt động và quản lý tài chính của Công ty trách nhiệm hữu hạn một thành viên Mua bán nợ Việt Nam;</w:t>
      </w:r>
    </w:p>
    <w:p>
      <w:pPr>
        <w:bidi w:val="0"/>
        <w:spacing w:before="120" w:beforeAutospacing="0" w:after="280" w:afterAutospacing="1"/>
      </w:pPr>
      <w:r>
        <w:rPr>
          <w:i/>
          <w:iCs/>
          <w:rtl w:val="0"/>
        </w:rPr>
        <w:t>Căn cứ Nghị định số 376/2026/NĐ-CP ngày 01 tháng 10 năm 2026 của Chính phủ quy định chức năng, nhiệm vụ, quyền hạn và cơ cấu tổ chức của Bộ Tài chính;</w:t>
      </w:r>
    </w:p>
    <w:p>
      <w:pPr>
        <w:bidi w:val="0"/>
        <w:spacing w:before="120" w:beforeAutospacing="0" w:after="280" w:afterAutospacing="1"/>
      </w:pPr>
      <w:r>
        <w:rPr>
          <w:i/>
          <w:iCs/>
          <w:rtl w:val="0"/>
        </w:rPr>
        <w:t>Theo đề nghị của Cục trưởng Cục Phát triển doanh nghiệp nhà nước.</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2" w:name="dieu_1"/>
      <w:r>
        <w:rPr>
          <w:b/>
          <w:bCs/>
          <w:rtl w:val="0"/>
        </w:rPr>
        <w:t>Điều 1.</w:t>
      </w:r>
      <w:r>
        <w:rPr>
          <w:rtl w:val="0"/>
        </w:rPr>
        <w:t xml:space="preserve"> Công bố 04 Thông tư của Bộ trưởng Bộ Tài chính tiếp tục có hiệu lực, cụ thể như sau:</w:t>
      </w:r>
      <w:bookmarkEnd w:id="2"/>
    </w:p>
    <w:p>
      <w:pPr>
        <w:bidi w:val="0"/>
        <w:spacing w:before="120" w:beforeAutospacing="0" w:after="280" w:afterAutospacing="1"/>
      </w:pPr>
      <w:r>
        <w:rPr>
          <w:rtl w:val="0"/>
        </w:rPr>
        <w:t>1. Thông tư số 42/2021/TT-BTC ngày 04/6/2021 của Bộ trưởng Bộ Tài chính ban hành Điều lệ tổ chức và hoạt động của Công ty trách nhiệm hữu hạn một thành viên Mua bán nợ Việt Nam (DATC) và Thông tư số 62/2021/TT- BTC ngày 29/7/2021 của Bộ trưởng Bộ Tài chính ban hành Quy chế tài chính của DATC tiếp tục có hiệu lực thi hành cho đến khi DATC ban hành Điều lệ tổ chức và Quy chế tài chính theo quy định tại Luật Quản lý và đầu tư vốn nhà nước tại doanh nghiệp nhưng không quá ngày 31 tháng 12 năm 2026.</w:t>
      </w:r>
    </w:p>
    <w:p>
      <w:pPr>
        <w:bidi w:val="0"/>
        <w:spacing w:before="120" w:beforeAutospacing="0" w:after="280" w:afterAutospacing="1"/>
      </w:pPr>
      <w:r>
        <w:rPr>
          <w:rtl w:val="0"/>
        </w:rPr>
        <w:t>2. Thông tư số 05/2022/TT-BTC ngày 08/02/2022 của Bộ trưởng Bộ Tài chính hướng dẫn tái cơ cấu doanh nghiệp không đủ điều kiện cổ phần hóa và chuyển nhượng lô cổ phần kèm nợ phải thu của doanh nghiệp do Nhà nước nắm giữ 100% vốn điều lệ có chức năng mua, bán, xử lý nợ và Thông tư số 07/2022/TT-BTC ngày 09/02/2022 của Bộ trưởng Bộ Tài chính hướng dẫn bàn giao, tiếp nhận, xử lý các khoản nợ và tài sản loại trừ khi chuyển đổi sở hữu doanh nghiệp, đơn vị sự nghiệp công lập và theo chỉ định của Chính phủ, Thủ tướng Chính phủ tiếp tục có hiệu lực thi hành kể từ ngày 30 tháng 10 năm 2026 cho đến khi có văn bản quy phạm pháp luật thay thế, bãi bỏ.</w:t>
      </w:r>
    </w:p>
    <w:p>
      <w:pPr>
        <w:bidi w:val="0"/>
        <w:spacing w:before="120" w:beforeAutospacing="0" w:after="280" w:afterAutospacing="1"/>
      </w:pPr>
      <w:bookmarkStart w:id="3" w:name="dieu_2"/>
      <w:r>
        <w:rPr>
          <w:b/>
          <w:bCs/>
          <w:rtl w:val="0"/>
        </w:rPr>
        <w:t>Điều 2. Nguyên tắc áp dụng pháp luật</w:t>
      </w:r>
      <w:bookmarkEnd w:id="3"/>
    </w:p>
    <w:p>
      <w:pPr>
        <w:bidi w:val="0"/>
        <w:spacing w:before="120" w:beforeAutospacing="0" w:after="280" w:afterAutospacing="1"/>
      </w:pPr>
      <w:r>
        <w:rPr>
          <w:rtl w:val="0"/>
        </w:rPr>
        <w:t xml:space="preserve">Việc áp dụng các văn bản quy phạm pháp luật quy định tại Điều 1 Quyết định này được thực hiện theo quy định tại </w:t>
      </w:r>
      <w:bookmarkStart w:id="4" w:name="dc_1"/>
      <w:r>
        <w:rPr>
          <w:rtl w:val="0"/>
        </w:rPr>
        <w:t>khoản 3 Điều 58 Luật ban hành văn bản quy phạm pháp luật năm 2025</w:t>
      </w:r>
      <w:bookmarkEnd w:id="4"/>
      <w:r>
        <w:rPr>
          <w:rtl w:val="0"/>
        </w:rPr>
        <w:t xml:space="preserve"> (trường hợp các văn bản quy phạm pháp luật có quy định khác nhau về cùng một vấn đề thì áp dụng văn bản có hiệu lực pháp lý cao hơn).</w:t>
      </w:r>
    </w:p>
    <w:p>
      <w:pPr>
        <w:bidi w:val="0"/>
        <w:spacing w:before="120" w:beforeAutospacing="0" w:after="280" w:afterAutospacing="1"/>
      </w:pPr>
      <w:bookmarkStart w:id="5" w:name="dieu_3"/>
      <w:r>
        <w:rPr>
          <w:b/>
          <w:bCs/>
          <w:rtl w:val="0"/>
        </w:rPr>
        <w:t>Điều 3. Điều khoản thi hành</w:t>
      </w:r>
      <w:bookmarkEnd w:id="5"/>
    </w:p>
    <w:p>
      <w:pPr>
        <w:bidi w:val="0"/>
        <w:spacing w:before="120" w:beforeAutospacing="0" w:after="280" w:afterAutospacing="1"/>
      </w:pPr>
      <w:r>
        <w:rPr>
          <w:rtl w:val="0"/>
        </w:rPr>
        <w:t xml:space="preserve">Quyết định này có hiệu lực kể từ ngày ký. Các cơ quan, tổ chức, cá nhân có liên quan đến việc thực hiện các Thông tư nêu tại Điều 1 Quyết định này chịu trách nhiệm thi hành Quyết định này./. </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9"/>
        <w:gridCol w:w="434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Quốc hội;</w:t>
            </w:r>
            <w:r>
              <w:rPr>
                <w:sz w:val="16"/>
                <w:rtl w:val="0"/>
              </w:rPr>
              <w:br/>
            </w:r>
            <w:r>
              <w:rPr>
                <w:sz w:val="16"/>
                <w:rtl w:val="0"/>
              </w:rPr>
              <w:t>- Hội đồng Dân tộc và các Ủy ban của Quốc hội;</w:t>
            </w:r>
            <w:r>
              <w:rPr>
                <w:sz w:val="16"/>
                <w:rtl w:val="0"/>
              </w:rPr>
              <w:br/>
            </w:r>
            <w:r>
              <w:rPr>
                <w:sz w:val="16"/>
                <w:rtl w:val="0"/>
              </w:rPr>
              <w:t>- Văn phòng Chủ tịch nước;</w:t>
            </w:r>
            <w:r>
              <w:rPr>
                <w:sz w:val="16"/>
                <w:rtl w:val="0"/>
              </w:rPr>
              <w:br/>
            </w:r>
            <w:r>
              <w:rPr>
                <w:sz w:val="16"/>
                <w:rtl w:val="0"/>
              </w:rPr>
              <w:t>- Văn phòng Chính phủ;</w:t>
            </w:r>
            <w:r>
              <w:rPr>
                <w:sz w:val="16"/>
                <w:rtl w:val="0"/>
              </w:rPr>
              <w:br/>
            </w:r>
            <w:r>
              <w:rPr>
                <w:sz w:val="16"/>
                <w:rtl w:val="0"/>
              </w:rPr>
              <w:t>- Viện Kiểm sát nhân dân tối cao;</w:t>
            </w:r>
            <w:r>
              <w:rPr>
                <w:sz w:val="16"/>
                <w:rtl w:val="0"/>
              </w:rPr>
              <w:br/>
            </w:r>
            <w:r>
              <w:rPr>
                <w:sz w:val="16"/>
                <w:rtl w:val="0"/>
              </w:rPr>
              <w:t>- Tòa án nhân dân tối cao;</w:t>
            </w:r>
            <w:r>
              <w:rPr>
                <w:sz w:val="16"/>
                <w:rtl w:val="0"/>
              </w:rPr>
              <w:br/>
            </w:r>
            <w:r>
              <w:rPr>
                <w:sz w:val="16"/>
                <w:rtl w:val="0"/>
              </w:rPr>
              <w:t>- Kiểm toán Nhà nước;</w:t>
            </w:r>
            <w:r>
              <w:rPr>
                <w:sz w:val="16"/>
                <w:rtl w:val="0"/>
              </w:rPr>
              <w:br/>
            </w:r>
            <w:r>
              <w:rPr>
                <w:sz w:val="16"/>
                <w:rtl w:val="0"/>
              </w:rPr>
              <w:t>- Cơ quan Trung ương của các đoàn thể;</w:t>
            </w:r>
            <w:r>
              <w:rPr>
                <w:sz w:val="16"/>
                <w:rtl w:val="0"/>
              </w:rPr>
              <w:br/>
            </w:r>
            <w:r>
              <w:rPr>
                <w:sz w:val="16"/>
                <w:rtl w:val="0"/>
              </w:rPr>
              <w:t>- Các Bộ, cơ quan ngang Bộ;</w:t>
            </w:r>
            <w:r>
              <w:rPr>
                <w:sz w:val="16"/>
                <w:rtl w:val="0"/>
              </w:rPr>
              <w:br/>
            </w:r>
            <w:r>
              <w:rPr>
                <w:sz w:val="16"/>
                <w:rtl w:val="0"/>
              </w:rPr>
              <w:t>- HĐND, UBND các tỉnh, thành phố;</w:t>
            </w:r>
            <w:r>
              <w:rPr>
                <w:sz w:val="16"/>
                <w:rtl w:val="0"/>
              </w:rPr>
              <w:br/>
            </w:r>
            <w:r>
              <w:rPr>
                <w:sz w:val="16"/>
                <w:rtl w:val="0"/>
              </w:rPr>
              <w:t>- Ủy ban Trung ương Mặt trận Tổ quốc Việt Nam;</w:t>
            </w:r>
            <w:r>
              <w:rPr>
                <w:sz w:val="16"/>
                <w:rtl w:val="0"/>
              </w:rPr>
              <w:br/>
            </w:r>
            <w:r>
              <w:rPr>
                <w:sz w:val="16"/>
                <w:rtl w:val="0"/>
              </w:rPr>
              <w:t>- Liên đoàn Thương mại và Công nghiệp Việt Nam;</w:t>
            </w:r>
            <w:r>
              <w:rPr>
                <w:sz w:val="16"/>
                <w:rtl w:val="0"/>
              </w:rPr>
              <w:br/>
            </w:r>
            <w:r>
              <w:rPr>
                <w:sz w:val="16"/>
                <w:rtl w:val="0"/>
              </w:rPr>
              <w:t>- Sở Tài chính các tỉnh, thành phố;</w:t>
            </w:r>
            <w:r>
              <w:rPr>
                <w:sz w:val="16"/>
                <w:rtl w:val="0"/>
              </w:rPr>
              <w:br/>
            </w:r>
            <w:r>
              <w:rPr>
                <w:sz w:val="16"/>
                <w:rtl w:val="0"/>
              </w:rPr>
              <w:t>- Các Tập đoàn kinh tế, Tổng công ty nhà nước;</w:t>
            </w:r>
            <w:r>
              <w:rPr>
                <w:sz w:val="16"/>
                <w:rtl w:val="0"/>
              </w:rPr>
              <w:br/>
            </w:r>
            <w:r>
              <w:rPr>
                <w:sz w:val="16"/>
                <w:rtl w:val="0"/>
              </w:rPr>
              <w:t>- Cục Kiểm tra văn bản và Tổ chức thi hành pháp luật Bộ Tư pháp;</w:t>
            </w:r>
            <w:r>
              <w:rPr>
                <w:sz w:val="16"/>
                <w:rtl w:val="0"/>
              </w:rPr>
              <w:br/>
            </w:r>
            <w:r>
              <w:rPr>
                <w:sz w:val="16"/>
                <w:rtl w:val="0"/>
              </w:rPr>
              <w:t>- Cơ sở dữ liệu quốc gia về pháp luật;</w:t>
            </w:r>
            <w:r>
              <w:rPr>
                <w:sz w:val="16"/>
                <w:rtl w:val="0"/>
              </w:rPr>
              <w:br/>
            </w:r>
            <w:r>
              <w:rPr>
                <w:sz w:val="16"/>
                <w:rtl w:val="0"/>
              </w:rPr>
              <w:t>- Công báo;</w:t>
            </w:r>
            <w:r>
              <w:rPr>
                <w:sz w:val="16"/>
                <w:rtl w:val="0"/>
              </w:rPr>
              <w:br/>
            </w:r>
            <w:r>
              <w:rPr>
                <w:sz w:val="16"/>
                <w:rtl w:val="0"/>
              </w:rPr>
              <w:t>- Cục Thông tin và Truyền thông Chính phủ;</w:t>
            </w:r>
            <w:r>
              <w:rPr>
                <w:sz w:val="16"/>
                <w:rtl w:val="0"/>
              </w:rPr>
              <w:br/>
            </w:r>
            <w:r>
              <w:rPr>
                <w:sz w:val="16"/>
                <w:rtl w:val="0"/>
              </w:rPr>
              <w:t>- Cổng thông tin điện tử của Bộ Tài chính;</w:t>
            </w:r>
            <w:r>
              <w:rPr>
                <w:sz w:val="16"/>
                <w:rtl w:val="0"/>
              </w:rPr>
              <w:br/>
            </w:r>
            <w:r>
              <w:rPr>
                <w:sz w:val="16"/>
                <w:rtl w:val="0"/>
              </w:rPr>
              <w:t>- Các đơn vị thuộc Bộ Tài chính;</w:t>
            </w:r>
            <w:r>
              <w:rPr>
                <w:sz w:val="16"/>
                <w:rtl w:val="0"/>
              </w:rPr>
              <w:br/>
            </w:r>
            <w:r>
              <w:rPr>
                <w:sz w:val="16"/>
                <w:rtl w:val="0"/>
              </w:rPr>
              <w:t>- Lưu: VT, Cục DNNN (140b).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Nguyễn Đức Chi</w:t>
            </w:r>
          </w:p>
        </w:tc>
      </w:tr>
    </w:tbl>
    <w:p>
      <w:pPr>
        <w:bidi w:val="0"/>
        <w:spacing w:before="120" w:beforeAutospacing="0" w:after="280" w:afterAutospacing="1"/>
      </w:pPr>
      <w:r>
        <w:rPr>
          <w:rtl w:val="0"/>
        </w:rPr>
        <w:t> </w:t>
      </w:r>
    </w:p>
    <w:p>
      <w:pPr>
        <w:bidi w:val="0"/>
        <w:spacing w:before="120" w:beforeAutospacing="0" w:after="280" w:afterAutospacing="1"/>
        <w:jc w:val="center"/>
      </w:pPr>
      <w:bookmarkStart w:id="6" w:name="chuong_pl"/>
      <w:r>
        <w:rPr>
          <w:b/>
          <w:bCs/>
          <w:rtl w:val="0"/>
        </w:rPr>
        <w:t>Danh sách các đơn vị gửi Quyết định số 2965/QĐ-BTC ngày 15/10/2026 của Bộ Tài chính</w:t>
      </w:r>
      <w:bookmarkEnd w:id="6"/>
    </w:p>
    <w:tbl>
      <w:tblPr>
        <w:tblW w:w="5000" w:type="pct"/>
        <w:jc w:val="left"/>
        <w:tblCellMar>
          <w:top w:w="0" w:type="dxa"/>
          <w:left w:w="0" w:type="dxa"/>
          <w:bottom w:w="0" w:type="dxa"/>
          <w:right w:w="0" w:type="dxa"/>
        </w:tblCellMar>
      </w:tblPr>
      <w:tblGrid>
        <w:gridCol w:w="360"/>
        <w:gridCol w:w="3856"/>
        <w:gridCol w:w="453"/>
        <w:gridCol w:w="3267"/>
        <w:gridCol w:w="705"/>
      </w:tblGrid>
      <w:tr>
        <w:tblPrEx>
          <w:tblW w:w="5000" w:type="pct"/>
          <w:jc w:val="left"/>
          <w:tblCellMar>
            <w:top w:w="0" w:type="dxa"/>
            <w:left w:w="0" w:type="dxa"/>
            <w:bottom w:w="0" w:type="dxa"/>
            <w:right w:w="0" w:type="dxa"/>
          </w:tblCellMar>
        </w:tblPrEx>
        <w:trPr>
          <w:jc w:val="left"/>
        </w:trPr>
        <w:tc>
          <w:tcPr>
            <w:tcW w:w="20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23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đơn vị</w:t>
            </w:r>
          </w:p>
        </w:tc>
        <w:tc>
          <w:tcPr>
            <w:tcW w:w="26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89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đơn vị</w:t>
            </w:r>
          </w:p>
        </w:tc>
        <w:tc>
          <w:tcPr>
            <w:tcW w:w="4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Tập đoàn Bưu chính viễn thông VN </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TCT Hợp tác kinh tế</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Tập đoàn CN Cao su Việt Nam - CTCP</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Viễn thông MobiFone</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Tập đoàn Điện lực Việt Nam </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Công nghệ - Viễn thông Toàn cầu</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Tập đoàn CN Than KS Việt Nam</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Ban Bí thư Trung ương Đảng</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Tập đoàn Xăng dầu VN - CTCP </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Thủ tướng Chính phủ</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Tập đoàn Công nghiệp - Năng lượng Quốc gia Việt Nam </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Phó Thủ tướng Chính phủ Phan Văn Giang</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Tập đoàn Hóa chất Việt Nam</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Phó Thủ tướng Chính phủ Phạm Gia Túc</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Tập đoàn Bảo Việt - CTCP </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Phó Thủ tướng Chính phủ Phạm Thị Thanh Trà</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Tập đoàn Công nghiệp - Viễn thông Quân đội</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Phó Thủ tướng Chính phủ Hồ Quốc Dũng</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Hàng hải Việt Nam</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Phó Thủ tướng Chính phủ Nguyễn Văn Thắng</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ĐTPT đường cao tốc Việt Nam</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Phó Thủ tướng Chính phủ Lê Tiến Châu</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Đường sắt Việt Nam</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Văn phòng Trung ương Đảng và các Ban của Đảng</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Cảng Hàng không Việt Nam-CTCP</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Văn phòng Tổng Bí thư</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Tổng công ty Hàng không Việt Nam-CTCP </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Văn phòng Quốc hội</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Quản lý bay Việt Nam</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Hội đồng dân tộc và các Ủy ban của Quốc hội</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Bảo đảm an toàn Hàng hải Việt Nam</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Văn phòng Chủ tịch nước</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Đầu tư phát triển nhà và đô thị (HUD)</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Viện Kiểm sát nhân dân tối cao</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Xi măng việt Nam</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Tòa án nhân dân tối cao</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Truyền thông Đa phương tiện</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Kiểm toán nhà nước</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Bưu điện Việt Nam</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quan Trung ương của các đoàn thể</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Cơ khí Xây dựng - CTCP</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Ủy ban Trung ương Mặt trận Tổ quốc Việt Nam</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CP Lắp máy Việt Nam - CTCP</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Liên đoàn thương mại và công nghiệp Việt Nam</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CP Xây dựng Hà Nội - CTCP</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tỉnh An Giang</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Cà phê Việt Nam</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tỉnh Cà Mau</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Lương thực miền Bắc</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TP Cần Thơ</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Lâm nghiệp Việt Nam - CTCP</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tỉnh Đồng Tháp</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Lương thực miền Nam - CTCP</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tỉnh Hưng Yên</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Công nghiệp thực phẩm Đồng Nai</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tỉnh Thừa Thiên Huế</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Khánh Việt</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tỉnh Vĩnh Long</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TCT Đầu tư phát triển hạ tầng đô thị - UDIC</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TP Hà Nội</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TCT Đầu tư phát triển nhà Hà Nội</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TP Hải Phòng</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TCT Vận tải Hà Nội</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tỉnh Ninh Bình</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TCT Du lịch Hà Nội</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tỉnh Bắc Ninh</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cấp nước Sài Gòn TNHH MTV</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tỉnh Cao Bằng</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TCT Cơ Khí Giao Thông Vận tải Sài Gòn-TNHH MTV</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tỉnh Lào Cai</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Du lịch Sài Gòn - TNHH MTV</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tỉnh Lạng Sơn</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Liksin</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tỉnh Phú Thọ</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Bến Thành - TNHH MTV</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tỉnh Quảng Ninh</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Xây dựng Sài Gòn - TNHH MTV</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tỉnh Thái Nguyên</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Thương mại Sài gòn - TNHH MTV</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tỉnh Tuyên Quang</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TCT Văn hóa Sài Gòn - TNHH MTV</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tỉnh Lai Châu</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TCT Địa ốc Sài Gòn - TNHH MTV</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113</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tỉnh Sơn La</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TCT Nông nghiệp Sài Gòn -TNHH MTV</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114</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tỉnh Điện Biên</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TCT Công nghiệp Sài Gòn - TNHH MTV</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tỉnh Hà Tĩnh</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Phát triển Khu công nghiệp - CTCP</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116</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tỉnh Nghệ An</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Đầu tư và Phát triển Công nghiệp - CTCP</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117</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tỉnh Quảng Trị</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Khoáng sản và TM Hà Tĩnh - CTCP</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118</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tỉnh Thanh Hoá</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Thương mại Xuất nhập khẩu Thanh Lễ (Thalexim) - CTCP</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119</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TP Đà Nẵng</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Đầu tư và Kinh doanh vốn nhà nước (SCIC)</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120</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tỉnh Khánh Hòa</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TCT Thuốc lá Việt Nam</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tỉnh Quảng Ngãi</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Giấy Việt Nam</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tỉnh Đắc Lắk</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Máy động lực và Máy nông nghiệp Việt Nam - CTCP</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tỉnh Gia Lai</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công ty cổ phần Bia - Rượu - Nước giải khát Hà Nội</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tỉnh Lâm Đồng</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TCT 15</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125</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tỉnh Đồng Nai</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TCT Trực thăng VN</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126</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TP Hồ Chí Minh</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TCT XNK tổng hợp Vạn Xuân</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127</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HĐND tỉnh Tây Ninh</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TCT xăng dầu Quân đội</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128</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Ban Tổ chức Trung ương</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TCT 319</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129</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Ban Nội chính Trung ương</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TCT Đầu tư phát triển Nhà và Đô thị BQP</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130</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Ban Tuyên giáo và Dân vận Trung ương</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TCT XD Trường sơn</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131</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Ban Chính sách, chiến lược Trung ương</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TCT Xây dựng Lũng Lô</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132</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Văn phòng Trung ương Đảng</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TCT Thái Sơn</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133</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Ủy ban pháp luật</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TCT Đông Bắc</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134</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Ủy ban tư pháp.</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TCT Thành An</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135</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Ủy ban kinh tế.</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TCT 789</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136</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Ủy ban tài chính, ngân sách.</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TCT Kinh tế kỹ thuật CNQP (GAET)</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137</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Ủy ban quốc phòng và an ninh.</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TCT Ba Son</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138</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Ủy ban văn hóa, giáo dục.</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TCT Sông Thu</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139</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Ủy ban xã hội.</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TCT XD công trình hàng không ACC</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140</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Ủy ban khoa học, công nghệ và môi trường.</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TCT 28</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141</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Ủy ban đối ngoại.</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0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TCT Tân cảng SG</w:t>
            </w:r>
          </w:p>
        </w:tc>
        <w:tc>
          <w:tcPr>
            <w:tcW w:w="2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