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JALS</w:t>
      </w:r>
      <w:r>
        <w:t xml:space="preserve"> </w:t>
      </w:r>
      <w:r>
        <w:t xml:space="preserve">Compass</w:t>
      </w:r>
      <w:r>
        <w:t xml:space="preserve"> </w:t>
      </w:r>
      <w:r>
        <w:t xml:space="preserve">×</w:t>
      </w:r>
      <w:r>
        <w:t xml:space="preserve"> </w:t>
      </w:r>
      <w:r>
        <w:t xml:space="preserve">Law</w:t>
      </w:r>
      <w:r>
        <w:t xml:space="preserve"> </w:t>
      </w:r>
      <w:r>
        <w:t xml:space="preserve">of</w:t>
      </w:r>
      <w:r>
        <w:t xml:space="preserve"> </w:t>
      </w:r>
      <w:r>
        <w:t xml:space="preserve">Sustainable</w:t>
      </w:r>
      <w:r>
        <w:t xml:space="preserve"> </w:t>
      </w:r>
      <w:r>
        <w:t xml:space="preserve">Intelligence</w:t>
      </w:r>
    </w:p>
    <w:p>
      <w:pPr>
        <w:pStyle w:val="Subtitle"/>
      </w:pPr>
      <w:r>
        <w:t xml:space="preserve">A</w:t>
      </w:r>
      <w:r>
        <w:t xml:space="preserve"> </w:t>
      </w:r>
      <w:r>
        <w:t xml:space="preserve">measurable</w:t>
      </w:r>
      <w:r>
        <w:t xml:space="preserve"> </w:t>
      </w:r>
      <w:r>
        <w:t xml:space="preserve">law</w:t>
      </w:r>
      <w:r>
        <w:t xml:space="preserve"> </w:t>
      </w:r>
      <w:r>
        <w:t xml:space="preserve">for</w:t>
      </w:r>
      <w:r>
        <w:t xml:space="preserve"> </w:t>
      </w:r>
      <w:r>
        <w:t xml:space="preserve">system</w:t>
      </w:r>
      <w:r>
        <w:t xml:space="preserve"> </w:t>
      </w:r>
      <w:r>
        <w:t xml:space="preserve">viability</w:t>
      </w:r>
      <w:r>
        <w:t xml:space="preserve"> </w:t>
      </w:r>
      <w:r>
        <w:t xml:space="preserve">with</w:t>
      </w:r>
      <w:r>
        <w:t xml:space="preserve"> </w:t>
      </w:r>
      <w:r>
        <w:t xml:space="preserve">operational</w:t>
      </w:r>
      <w:r>
        <w:t xml:space="preserve"> </w:t>
      </w:r>
      <w:r>
        <w:t xml:space="preserve">receipts</w:t>
      </w:r>
      <w:r>
        <w:t xml:space="preserve"> </w:t>
      </w:r>
      <w:r>
        <w:t xml:space="preserve">(v5.1_final)</w:t>
      </w:r>
    </w:p>
    <w:p>
      <w:pPr>
        <w:pStyle w:val="Date"/>
      </w:pPr>
      <w:r>
        <w:t xml:space="preserve">2025-11-10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3ee2150d17b5531308d4f6ec9ea3aa8b7eb9b85"/>
    <w:p>
      <w:pPr>
        <w:pStyle w:val="Heading1"/>
      </w:pPr>
      <w:r>
        <w:t xml:space="preserve">Abstract@adamlee-max ➜ /workspaces/JALS-Compass (stage16-manuscript) $ cat submission_v5.1_final/abstract.md</w:t>
      </w:r>
    </w:p>
    <w:bookmarkEnd w:id="20"/>
    <w:bookmarkStart w:id="21" w:name="X19454bddb6d9f92a06a7d8ac84a3c67d0451eb8"/>
    <w:p>
      <w:pPr>
        <w:pStyle w:val="Heading1"/>
      </w:pPr>
      <w:r>
        <w:t xml:space="preserve">Abstract — Law of Sustainable Intelligence (v5.1_final)</w:t>
      </w:r>
    </w:p>
    <w:p>
      <w:pPr>
        <w:pStyle w:val="FirstParagraph"/>
      </w:pPr>
      <w:r>
        <w:t xml:space="preserve">Complex adaptive systems—from biological networks to artificial intelligences—survive by maintaining internal and external coherence. The</w:t>
      </w:r>
      <w:r>
        <w:t xml:space="preserve"> </w:t>
      </w:r>
      <w:r>
        <w:rPr>
          <w:iCs/>
          <w:i/>
        </w:rPr>
        <w:t xml:space="preserve">Law of Sustainable Intelligence (LSI)</w:t>
      </w:r>
      <w:r>
        <w:t xml:space="preserve"> </w:t>
      </w:r>
      <w:r>
        <w:t xml:space="preserve">formalises this principle through the</w:t>
      </w:r>
      <w:r>
        <w:t xml:space="preserve"> </w:t>
      </w:r>
      <w:r>
        <w:rPr>
          <w:iCs/>
          <w:i/>
        </w:rPr>
        <w:t xml:space="preserve">Viability Functional</w:t>
      </w:r>
      <w:r>
        <w:t xml:space="preserve"> </w:t>
      </w:r>
      <w:r>
        <w:t xml:space="preserve">(</w:t>
      </w:r>
      <w:r>
        <w:t xml:space="preserve">(</w:t>
      </w:r>
      <w:r>
        <w:t xml:space="preserve">)), which quantifies systemic balance across five invariants: Boundary Symmetry, Dynamic Centre, Loop Continuity, Pattern Sufficiency, and Recurrence. Within this formulation, sustainability emerges when cooperative feedbacks dominate competitive frictions, producing a bounded logistic trajectory that resists collapse.</w:t>
      </w:r>
    </w:p>
    <w:p>
      <w:pPr>
        <w:pStyle w:val="BodyText"/>
      </w:pPr>
      <w:r>
        <w:t xml:space="preserve">To test the law empirically, the</w:t>
      </w:r>
      <w:r>
        <w:t xml:space="preserve"> </w:t>
      </w:r>
      <w:r>
        <w:rPr>
          <w:iCs/>
          <w:i/>
        </w:rPr>
        <w:t xml:space="preserve">JALS Compass</w:t>
      </w:r>
      <w:r>
        <w:t xml:space="preserve"> </w:t>
      </w:r>
      <w:r>
        <w:t xml:space="preserve">framework instantiated the functional in simulation. In 1,000 controlled runs, systems configured according to the invariants recovered to (C ≥ 0.65) following perturbation, whereas anti-coherent (</w:t>
      </w:r>
      <w:r>
        <w:t xml:space="preserve">“</w:t>
      </w:r>
      <w:r>
        <w:t xml:space="preserve">Anti-JALS</w:t>
      </w:r>
      <w:r>
        <w:t xml:space="preserve">”</w:t>
      </w:r>
      <w:r>
        <w:t xml:space="preserve">) controls—constructed by inverting coupling weights—fell to (C = 0.11 ± 0.04) and never recovered. These results establish a falsifiable threshold (C &lt; 0.2) for systemic failure and confirm that cooperative symmetry is computationally optimal for persistence.</w:t>
      </w:r>
    </w:p>
    <w:p>
      <w:pPr>
        <w:pStyle w:val="BodyText"/>
      </w:pPr>
      <w:r>
        <w:t xml:space="preserve">Together, the analytical derivation and empirical falsification support the LSI as a general law linking coherence and viability across domains. The framework provides a reproducible, open-source method for evaluating the stability of human, organisational, or artificial systems, positioning the Compass as a quantitative bridge between information theory, game theory, and sustainability science.</w:t>
      </w:r>
      <w:r>
        <w:t xml:space="preserve"> </w:t>
      </w:r>
      <w:r>
        <w:t xml:space="preserve">@adamlee-max</w:t>
      </w:r>
      <w:r>
        <w:t xml:space="preserve"> </w:t>
      </w:r>
      <w:r>
        <w:t xml:space="preserve">➜ /workspaces/JALS-Compass (stage16-manuscript) $</w:t>
      </w:r>
    </w:p>
    <w:bookmarkEnd w:id="21"/>
    <w:bookmarkStart w:id="23" w:name="introduction"/>
    <w:p>
      <w:pPr>
        <w:pStyle w:val="Heading1"/>
      </w:pPr>
      <w:r>
        <w:t xml:space="preserve">1. Introduction</w:t>
      </w:r>
    </w:p>
    <w:p>
      <w:pPr>
        <w:pStyle w:val="FirstParagraph"/>
      </w:pPr>
      <w:r>
        <w:t xml:space="preserve">We propose the JALS Compass × Law of Sustainable Intelligence (LSI), a universal viability functional (</w:t>
      </w:r>
      <w:r>
        <w:t xml:space="preserve"> </w:t>
      </w:r>
      <w:r>
        <w:t xml:space="preserve">(</w:t>
      </w:r>
      <w:r>
        <w:t xml:space="preserve">,t) ) that assesses whether a system can hold its dynamic centre under perturbation. We motivate the five invariants, define the operational signals, and outline falsifiable predictions</w:t>
      </w:r>
      <w:r>
        <w:t xml:space="preserve"> </w:t>
      </w:r>
      <w:r>
        <w:t xml:space="preserve"># 2. Framework</w:t>
      </w:r>
      <w:r>
        <w:t xml:space="preserve"> </w:t>
      </w:r>
      <w:r>
        <w:t xml:space="preserve">## 2.1 Invariants and Signals</w:t>
      </w:r>
      <w:r>
        <w:t xml:space="preserve"> </w:t>
      </w:r>
      <w:r>
        <w:t xml:space="preserve">The framework formalises five measurable invariants that together define sustainable intelligence:</w:t>
      </w:r>
    </w:p>
    <w:p>
      <w:pPr>
        <w:numPr>
          <w:ilvl w:val="0"/>
          <w:numId w:val="1001"/>
        </w:numPr>
        <w:pStyle w:val="Compact"/>
      </w:pPr>
      <w:r>
        <w:rPr>
          <w:bCs/>
          <w:b/>
        </w:rPr>
        <w:t xml:space="preserve">Boundary Symmetry</w:t>
      </w:r>
      <w:r>
        <w:t xml:space="preserve"> </w:t>
      </w:r>
      <w:r>
        <w:t xml:space="preserve">– how well the system maintains balanced exchange with its environment.</w:t>
      </w:r>
      <w:r>
        <w:br/>
      </w:r>
    </w:p>
    <w:p>
      <w:pPr>
        <w:numPr>
          <w:ilvl w:val="0"/>
          <w:numId w:val="1001"/>
        </w:numPr>
        <w:pStyle w:val="Compact"/>
      </w:pPr>
      <w:r>
        <w:rPr>
          <w:bCs/>
          <w:b/>
        </w:rPr>
        <w:t xml:space="preserve">Dynamic Centre</w:t>
      </w:r>
      <w:r>
        <w:t xml:space="preserve"> </w:t>
      </w:r>
      <w:r>
        <w:t xml:space="preserve">– the system’s internal equilibrium point that adjusts under pressure without collapse.</w:t>
      </w:r>
      <w:r>
        <w:br/>
      </w:r>
    </w:p>
    <w:p>
      <w:pPr>
        <w:numPr>
          <w:ilvl w:val="0"/>
          <w:numId w:val="1001"/>
        </w:numPr>
        <w:pStyle w:val="Compact"/>
      </w:pPr>
      <w:r>
        <w:rPr>
          <w:bCs/>
          <w:b/>
        </w:rPr>
        <w:t xml:space="preserve">Loop Continuity</w:t>
      </w:r>
      <w:r>
        <w:t xml:space="preserve"> </w:t>
      </w:r>
      <w:r>
        <w:t xml:space="preserve">– the integrity of feedback and learning cycles across time.</w:t>
      </w:r>
      <w:r>
        <w:br/>
      </w:r>
    </w:p>
    <w:p>
      <w:pPr>
        <w:numPr>
          <w:ilvl w:val="0"/>
          <w:numId w:val="1001"/>
        </w:numPr>
        <w:pStyle w:val="Compact"/>
      </w:pPr>
      <w:r>
        <w:rPr>
          <w:bCs/>
          <w:b/>
        </w:rPr>
        <w:t xml:space="preserve">Pattern Sufficiency</w:t>
      </w:r>
      <w:r>
        <w:t xml:space="preserve"> </w:t>
      </w:r>
      <w:r>
        <w:t xml:space="preserve">– the richness and coherence of structural patterns that sustain function.</w:t>
      </w:r>
      <w:r>
        <w:br/>
      </w:r>
    </w:p>
    <w:p>
      <w:pPr>
        <w:numPr>
          <w:ilvl w:val="0"/>
          <w:numId w:val="1001"/>
        </w:numPr>
        <w:pStyle w:val="Compact"/>
      </w:pPr>
      <w:r>
        <w:rPr>
          <w:bCs/>
          <w:b/>
        </w:rPr>
        <w:t xml:space="preserve">Recurrence</w:t>
      </w:r>
      <w:r>
        <w:t xml:space="preserve"> </w:t>
      </w:r>
      <w:r>
        <w:t xml:space="preserve">– the ability of a system to recover its state following perturbation.</w:t>
      </w:r>
    </w:p>
    <w:p>
      <w:pPr>
        <w:pStyle w:val="FirstParagraph"/>
      </w:pPr>
      <w:r>
        <w:t xml:space="preserve">Each invariant generates a signal ( I_i(t,</w:t>
      </w:r>
      <w:r>
        <w:t xml:space="preserve">) ) normalised between 0 and 1. These signals feed into the composite viability functional (</w:t>
      </w:r>
      <w:r>
        <w:t xml:space="preserve"> </w:t>
      </w:r>
      <w:r>
        <w:t xml:space="preserve">(</w:t>
      </w:r>
      <w:r>
        <w:t xml:space="preserve">,t) ), producing a continuous measure of systemic balance.</w:t>
      </w:r>
      <w:r>
        <w:t xml:space="preserve"> </w:t>
      </w:r>
      <w:r>
        <w:t xml:space="preserve">The framework provides a single viability score, (</w:t>
      </w:r>
      <w:r>
        <w:t xml:space="preserve"> </w:t>
      </w:r>
      <w:r>
        <w:t xml:space="preserve">(</w:t>
      </w:r>
      <w:r>
        <w:t xml:space="preserve">,t) ), that captures the degree to which a system maintains balance under perturbation. Across empirical simulations, the Compass demonstrated that systems adhering to these invariants sustain higher coherence and recover more quickly after disruption, whereas anti-coherent configurations collapse.</w:t>
      </w:r>
    </w:p>
    <w:p>
      <w:pPr>
        <w:pStyle w:val="BodyText"/>
      </w:pPr>
      <w:r>
        <w:t xml:space="preserve">This paper formalises the mathematical structure of the Law of Sustainable Intelligence, presents the derivation of the viability functional, and provides empirical validation through controlled simulations. The goal is to establish a unified law for sustainable intelligence that applies equally to natural, social, and artificial systems.Summarise each invariant and its measurement signal.</w:t>
      </w:r>
    </w:p>
    <w:bookmarkStart w:id="22" w:name="viability-functional"/>
    <w:p>
      <w:pPr>
        <w:pStyle w:val="Heading2"/>
      </w:pPr>
      <w:r>
        <w:t xml:space="preserve">2.2 Viability Functional</w:t>
      </w:r>
    </w:p>
    <w:p>
      <w:pPr>
        <w:pStyle w:val="FirstParagraph"/>
      </w:pPr>
      <w:r>
        <w:t xml:space="preserve">We define a normalised viability functional (</w:t>
      </w:r>
      <w:r>
        <w:t xml:space="preserve"> </w:t>
      </w:r>
      <w:r>
        <w:t xml:space="preserve">(</w:t>
      </w:r>
      <w:r>
        <w:t xml:space="preserve">,t)</w:t>
      </w:r>
      <w:r>
        <w:t xml:space="preserve"> </w:t>
      </w:r>
      <w:r>
        <w:t xml:space="preserve">) that aggregates invariant signals with time-varying weights and cross-invariant coherence:</w:t>
      </w:r>
    </w:p>
    <w:p>
      <w:pPr>
        <w:numPr>
          <w:ilvl w:val="0"/>
          <w:numId w:val="1002"/>
        </w:numPr>
        <w:pStyle w:val="Compact"/>
      </w:pPr>
      <w:r>
        <w:rPr>
          <w:bCs/>
          <w:b/>
        </w:rPr>
        <w:t xml:space="preserve">Signals:</w:t>
      </w:r>
      <w:r>
        <w:t xml:space="preserve"> </w:t>
      </w:r>
      <w:r>
        <w:t xml:space="preserve">( I_i(t,</w:t>
      </w:r>
      <w:r>
        <w:t xml:space="preserve">)</w:t>
      </w:r>
      <w:r>
        <w:t xml:space="preserve"> </w:t>
      </w:r>
      <w:r>
        <w:t xml:space="preserve">) for ( i</w:t>
      </w:r>
      <w:r>
        <w:t xml:space="preserve"> </w:t>
      </w:r>
      <w:r>
        <w:t xml:space="preserve">{1,</w:t>
      </w:r>
      <w:r>
        <w:t xml:space="preserve">,5} ) correspond to the five invariants.</w:t>
      </w:r>
      <w:r>
        <w:br/>
      </w:r>
    </w:p>
    <w:p>
      <w:pPr>
        <w:numPr>
          <w:ilvl w:val="0"/>
          <w:numId w:val="1002"/>
        </w:numPr>
        <w:pStyle w:val="Compact"/>
      </w:pPr>
      <w:r>
        <w:rPr>
          <w:bCs/>
          <w:b/>
        </w:rPr>
        <w:t xml:space="preserve">Weights:</w:t>
      </w:r>
      <w:r>
        <w:t xml:space="preserve"> </w:t>
      </w:r>
      <w:r>
        <w:t xml:space="preserve">( w_i(t,</w:t>
      </w:r>
      <w:r>
        <w:t xml:space="preserve">)</w:t>
      </w:r>
      <w:r>
        <w:t xml:space="preserve"> </w:t>
      </w:r>
      <w:r>
        <w:t xml:space="preserve"> </w:t>
      </w:r>
      <w:r>
        <w:t xml:space="preserve">) with (</w:t>
      </w:r>
      <w:r>
        <w:t xml:space="preserve"> </w:t>
      </w:r>
      <w:r>
        <w:t xml:space="preserve">_i w_i = 1 ) capture context-sensitive importance.</w:t>
      </w:r>
      <w:r>
        <w:br/>
      </w:r>
    </w:p>
    <w:p>
      <w:pPr>
        <w:numPr>
          <w:ilvl w:val="0"/>
          <w:numId w:val="1002"/>
        </w:numPr>
        <w:pStyle w:val="Compact"/>
      </w:pPr>
      <w:r>
        <w:rPr>
          <w:bCs/>
          <w:b/>
        </w:rPr>
        <w:t xml:space="preserve">Coherence:</w:t>
      </w:r>
      <w:r>
        <w:t xml:space="preserve"> </w:t>
      </w:r>
      <w:r>
        <w:t xml:space="preserve">a global term (</w:t>
      </w:r>
      <w:r>
        <w:t xml:space="preserve"> </w:t>
      </w:r>
      <w:r>
        <w:rPr>
          <w:iCs/>
          <w:i/>
        </w:rPr>
        <w:t xml:space="preserve">{</w:t>
      </w:r>
      <w:r>
        <w:rPr>
          <w:iCs/>
          <w:i/>
        </w:rPr>
        <w:t xml:space="preserve">}(t,</w:t>
      </w:r>
      <w:r>
        <w:rPr>
          <w:iCs/>
          <w:i/>
        </w:rPr>
        <w:t xml:space="preserve">)</w:t>
      </w:r>
      <w:r>
        <w:rPr>
          <w:iCs/>
          <w:i/>
        </w:rPr>
        <w:t xml:space="preserve"> </w:t>
      </w:r>
      <w:r>
        <w:rPr>
          <w:iCs/>
          <w:i/>
        </w:rPr>
        <w:t xml:space="preserve">) encodes cross-invariant alignment (via coupling (</w:t>
      </w:r>
      <w:r>
        <w:rPr>
          <w:iCs/>
          <w:i/>
        </w:rPr>
        <w:t xml:space="preserve"> </w:t>
      </w:r>
      <w:r>
        <w:t xml:space="preserve">{ij} )).</w:t>
      </w:r>
    </w:p>
    <w:p>
      <w:pPr>
        <w:pStyle w:val="FirstParagraph"/>
      </w:pPr>
      <w:r>
        <w:t xml:space="preserve">Operationally, (</w:t>
      </w:r>
      <w:r>
        <w:t xml:space="preserve"> </w:t>
      </w:r>
      <w:r>
        <w:t xml:space="preserve">(</w:t>
      </w:r>
      <w:r>
        <w:t xml:space="preserve">,t) ) rises as invariants strengthen and align, and falls under imbalance or breakdown. Exact parameter settings used for v5.1_final are provided in the repository configuration to ensure reproducibility.</w:t>
      </w:r>
      <w:r>
        <w:t xml:space="preserve"> </w:t>
      </w:r>
      <w:r>
        <w:t xml:space="preserve">## 2.3 Drift &amp; Recovery</w:t>
      </w:r>
      <w:r>
        <w:t xml:space="preserve"> </w:t>
      </w:r>
      <w:r>
        <w:t xml:space="preserve">System drift is detected when the viability score (</w:t>
      </w:r>
      <w:r>
        <w:t xml:space="preserve"> </w:t>
      </w:r>
      <w:r>
        <w:t xml:space="preserve">(</w:t>
      </w:r>
      <w:r>
        <w:t xml:space="preserve">,t) ) deviates persistently beyond a defined tolerance window. Recovery occurs when corrective feedback restores (</w:t>
      </w:r>
      <w:r>
        <w:t xml:space="preserve"> </w:t>
      </w:r>
      <w:r>
        <w:t xml:space="preserve"> </w:t>
      </w:r>
      <w:r>
        <w:t xml:space="preserve">) toward its equilibrium trajectory (</w:t>
      </w:r>
      <w:r>
        <w:t xml:space="preserve"> </w:t>
      </w:r>
      <w:r>
        <w:t xml:space="preserve">_0(t) ).</w:t>
      </w:r>
    </w:p>
    <w:p>
      <w:pPr>
        <w:pStyle w:val="BodyText"/>
      </w:pPr>
      <w:r>
        <w:t xml:space="preserve">For practical monitoring, drift magnitude (</w:t>
      </w:r>
      <w:r>
        <w:t xml:space="preserve"> </w:t>
      </w:r>
      <w:r>
        <w:t xml:space="preserve"> </w:t>
      </w:r>
      <w:r>
        <w:t xml:space="preserve">=</w:t>
      </w:r>
      <w:r>
        <w:t xml:space="preserve"> </w:t>
      </w:r>
      <w:r>
        <w:t xml:space="preserve"> </w:t>
      </w:r>
      <w:r>
        <w:t xml:space="preserve">-</w:t>
      </w:r>
      <w:r>
        <w:t xml:space="preserve"> </w:t>
      </w:r>
      <w:r>
        <w:t xml:space="preserve">_0 ) and recovery time (</w:t>
      </w:r>
      <w:r>
        <w:t xml:space="preserve"> </w:t>
      </w:r>
      <w:r>
        <w:t xml:space="preserve">_r ) are logged as diagnostic receipts. Sustained recovery within bounded (</w:t>
      </w:r>
      <w:r>
        <w:t xml:space="preserve"> </w:t>
      </w:r>
      <w:r>
        <w:t xml:space="preserve">_r ) indicates resilience; unbounded drift signals collapse.</w:t>
      </w:r>
      <w:r>
        <w:t xml:space="preserve"> </w:t>
      </w:r>
      <w:r>
        <w:t xml:space="preserve"># 3. Methods</w:t>
      </w:r>
      <w:r>
        <w:t xml:space="preserve"> </w:t>
      </w:r>
      <w:r>
        <w:t xml:space="preserve">## 3.1 Data and Preprocessing</w:t>
      </w:r>
      <w:r>
        <w:t xml:space="preserve"> </w:t>
      </w:r>
      <w:r>
        <w:t xml:space="preserve">The simulation dataset comprised 1,000 controlled system configurations generated under varying perturbation levels. Each configuration produced time-series outputs for the five invariant signals ( I_i(t,</w:t>
      </w:r>
      <w:r>
        <w:t xml:space="preserve">) ), normalised to [0,1]. Pre-processing included smoothing transient noise, ensuring temporal alignment, and rescaling signals to a consistent resolution before computing the viability functional.</w:t>
      </w:r>
      <w:r>
        <w:t xml:space="preserve"> </w:t>
      </w:r>
      <w:r>
        <w:t xml:space="preserve">## 3.2 Computation of (</w:t>
      </w:r>
      <w:r>
        <w:t xml:space="preserve"> </w:t>
      </w:r>
      <w:r>
        <w:t xml:space="preserve"> </w:t>
      </w:r>
      <w:r>
        <w:t xml:space="preserve">)</w:t>
      </w:r>
      <w:r>
        <w:t xml:space="preserve"> </w:t>
      </w:r>
      <w:r>
        <w:t xml:space="preserve">The viability functional (</w:t>
      </w:r>
      <w:r>
        <w:t xml:space="preserve"> </w:t>
      </w:r>
      <w:r>
        <w:t xml:space="preserve">(</w:t>
      </w:r>
      <w:r>
        <w:t xml:space="preserve">,t) ) was computed at each time step as a weighted mean of the invariant signals and a coherence adjustment term:</w:t>
      </w:r>
    </w:p>
    <w:p>
      <w:pPr>
        <w:pStyle w:val="BodyText"/>
      </w:pPr>
      <w:r>
        <w:t xml:space="preserve">[</w:t>
      </w:r>
      <w:r>
        <w:t xml:space="preserve"> </w:t>
      </w:r>
      <w:r>
        <w:t xml:space="preserve">(</w:t>
      </w:r>
      <w:r>
        <w:t xml:space="preserve">,t) =</w:t>
      </w:r>
      <w:r>
        <w:t xml:space="preserve"> </w:t>
      </w:r>
      <w:r>
        <w:rPr>
          <w:iCs/>
          <w:i/>
        </w:rPr>
        <w:t xml:space="preserve">{i=1}^{5} w_i(t,</w:t>
      </w:r>
      <w:r>
        <w:rPr>
          <w:iCs/>
          <w:i/>
        </w:rPr>
        <w:t xml:space="preserve">) I_i(t,</w:t>
      </w:r>
      <w:r>
        <w:rPr>
          <w:iCs/>
          <w:i/>
        </w:rPr>
        <w:t xml:space="preserve">) ,</w:t>
      </w:r>
      <w:r>
        <w:rPr>
          <w:iCs/>
          <w:i/>
        </w:rPr>
        <w:t xml:space="preserve"> </w:t>
      </w:r>
      <w:r>
        <w:t xml:space="preserve">{</w:t>
      </w:r>
      <w:r>
        <w:t xml:space="preserve">}(t,</w:t>
      </w:r>
      <w:r>
        <w:t xml:space="preserve">)</w:t>
      </w:r>
      <w:r>
        <w:t xml:space="preserve"> </w:t>
      </w:r>
      <w:r>
        <w:t xml:space="preserve">]</w:t>
      </w:r>
    </w:p>
    <w:p>
      <w:pPr>
        <w:pStyle w:val="BodyText"/>
      </w:pPr>
      <w:r>
        <w:t xml:space="preserve">Algorithmically:</w:t>
      </w:r>
      <w:r>
        <w:t xml:space="preserve"> </w:t>
      </w:r>
      <w:r>
        <w:t xml:space="preserve">1. Read invariant signals ( I_i(t,</w:t>
      </w:r>
      <w:r>
        <w:t xml:space="preserve">) ) for the current state.</w:t>
      </w:r>
      <w:r>
        <w:t xml:space="preserve"> </w:t>
      </w:r>
      <w:r>
        <w:t xml:space="preserve">2. Apply weights ( w_i(t,</w:t>
      </w:r>
      <w:r>
        <w:t xml:space="preserve">) ) and normalise so (</w:t>
      </w:r>
      <w:r>
        <w:t xml:space="preserve"> </w:t>
      </w:r>
      <w:r>
        <w:rPr>
          <w:iCs/>
          <w:i/>
        </w:rPr>
        <w:t xml:space="preserve">i w_i = 1 ).</w:t>
      </w:r>
      <w:r>
        <w:rPr>
          <w:iCs/>
          <w:i/>
        </w:rPr>
        <w:t xml:space="preserve"> </w:t>
      </w:r>
      <w:r>
        <w:rPr>
          <w:iCs/>
          <w:i/>
        </w:rPr>
        <w:t xml:space="preserve">3. Compute the cross-invariant coherence (</w:t>
      </w:r>
      <w:r>
        <w:rPr>
          <w:iCs/>
          <w:i/>
        </w:rPr>
        <w:t xml:space="preserve"> </w:t>
      </w:r>
      <w:r>
        <w:t xml:space="preserve">{</w:t>
      </w:r>
      <w:r>
        <w:t xml:space="preserve">}(t,</w:t>
      </w:r>
      <w:r>
        <w:t xml:space="preserve">) ).</w:t>
      </w:r>
      <w:r>
        <w:t xml:space="preserve"> </w:t>
      </w:r>
      <w:r>
        <w:t xml:space="preserve">4. Multiply and record the resulting (</w:t>
      </w:r>
      <w:r>
        <w:t xml:space="preserve"> </w:t>
      </w:r>
      <w:r>
        <w:t xml:space="preserve">(</w:t>
      </w:r>
      <w:r>
        <w:t xml:space="preserve">,t) ).</w:t>
      </w:r>
      <w:r>
        <w:t xml:space="preserve"> </w:t>
      </w:r>
      <w:r>
        <w:t xml:space="preserve">5. Log each output as a receipt for reproducibility.</w:t>
      </w:r>
      <w:r>
        <w:t xml:space="preserve"> </w:t>
      </w:r>
      <w:r>
        <w:t xml:space="preserve">## 3.3 Null (Anti-JALS) Model</w:t>
      </w:r>
      <w:r>
        <w:t xml:space="preserve"> </w:t>
      </w:r>
      <w:r>
        <w:t xml:space="preserve">The Anti-JALS null model represents a deliberately incoherent configuration in which invariant couplings are inverted to disrupt systemic balance. In this control condition, weights ( w_i(t,</w:t>
      </w:r>
      <w:r>
        <w:t xml:space="preserve">) ) are randomised and feedback loops are broken, producing collapse dynamics that serve as a falsification baseline.</w:t>
      </w:r>
    </w:p>
    <w:p>
      <w:pPr>
        <w:pStyle w:val="BodyText"/>
      </w:pPr>
      <w:r>
        <w:t xml:space="preserve">Empirically, systems in the null model exhibit a viability score (</w:t>
      </w:r>
      <w:r>
        <w:t xml:space="preserve"> </w:t>
      </w:r>
      <w:r>
        <w:t xml:space="preserve"> </w:t>
      </w:r>
      <w:r>
        <w:t xml:space="preserve">&lt; 0.2 ) and fail to recover once feedback symmetry is lost. The collapse plot and associated data are archived in</w:t>
      </w:r>
      <w:r>
        <w:t xml:space="preserve"> </w:t>
      </w:r>
      <w:r>
        <w:rPr>
          <w:rStyle w:val="VerbatimChar"/>
        </w:rPr>
        <w:t xml:space="preserve">/results/anti_JALS_collapse.csv</w:t>
      </w:r>
      <w:r>
        <w:t xml:space="preserve"> </w:t>
      </w:r>
      <w:r>
        <w:t xml:space="preserve">and visualised in</w:t>
      </w:r>
      <w:r>
        <w:t xml:space="preserve"> </w:t>
      </w:r>
      <w:r>
        <w:rPr>
          <w:rStyle w:val="VerbatimChar"/>
        </w:rPr>
        <w:t xml:space="preserve">/results/C_timeseries_20251104_162909.png</w:t>
      </w:r>
      <w:r>
        <w:t xml:space="preserve">.</w:t>
      </w:r>
      <w:r>
        <w:t xml:space="preserve"> </w:t>
      </w:r>
      <w:r>
        <w:t xml:space="preserve"># 4. Results</w:t>
      </w:r>
      <w:r>
        <w:t xml:space="preserve"> </w:t>
      </w:r>
      <w:r>
        <w:t xml:space="preserve">## 4.1 Core Result</w:t>
      </w:r>
      <w:r>
        <w:t xml:space="preserve"> </w:t>
      </w:r>
      <w:r>
        <w:t xml:space="preserve">Across all baseline simulations, systems adhering to invariant coupling maintained stable viability scores within the range ( 0.65</w:t>
      </w:r>
      <w:r>
        <w:t xml:space="preserve"> </w:t>
      </w:r>
      <w:r>
        <w:t xml:space="preserve"> </w:t>
      </w:r>
      <w:r>
        <w:t xml:space="preserve"> </w:t>
      </w:r>
      <w:r>
        <w:t xml:space="preserve">). Under mild perturbations, (</w:t>
      </w:r>
      <w:r>
        <w:t xml:space="preserve"> </w:t>
      </w:r>
      <w:r>
        <w:t xml:space="preserve"> </w:t>
      </w:r>
      <w:r>
        <w:t xml:space="preserve">) temporarily dipped but recovered within bounded (</w:t>
      </w:r>
      <w:r>
        <w:t xml:space="preserve"> </w:t>
      </w:r>
      <w:r>
        <w:t xml:space="preserve">_r ), confirming the model’s resilience.</w:t>
      </w:r>
    </w:p>
    <w:p>
      <w:pPr>
        <w:pStyle w:val="BodyText"/>
      </w:pPr>
      <w:r>
        <w:t xml:space="preserve">These results validate that cooperative feedback and boundary symmetry preserve systemic balance, establishing (</w:t>
      </w:r>
      <w:r>
        <w:t xml:space="preserve"> </w:t>
      </w:r>
      <w:r>
        <w:t xml:space="preserve"> </w:t>
      </w:r>
      <w:r>
        <w:t xml:space="preserve">) as a measurable indicator of sustainable intelligence.</w:t>
      </w:r>
      <w:r>
        <w:t xml:space="preserve"> </w:t>
      </w:r>
      <w:r>
        <w:t xml:space="preserve">## 4.2 Anti-JALS Collapse Check</w:t>
      </w:r>
      <w:r>
        <w:t xml:space="preserve"> </w:t>
      </w:r>
      <w:r>
        <w:t xml:space="preserve">In the Anti-JALS control simulations, systems with inverted invariant couplings exhibited sustained collapse, confirming the falsification condition. The viability score (</w:t>
      </w:r>
      <w:r>
        <w:t xml:space="preserve"> </w:t>
      </w:r>
      <w:r>
        <w:t xml:space="preserve"> </w:t>
      </w:r>
      <w:r>
        <w:t xml:space="preserve">) consistently fell below 0.2 and did not recover within the bounded recovery time (</w:t>
      </w:r>
      <w:r>
        <w:t xml:space="preserve"> </w:t>
      </w:r>
      <w:r>
        <w:t xml:space="preserve">_r ), even after feedback reintroduction.</w:t>
      </w:r>
    </w:p>
    <w:p>
      <w:pPr>
        <w:pStyle w:val="BodyText"/>
      </w:pPr>
      <w:r>
        <w:t xml:space="preserve">The collapse trajectories matched the theoretical prediction for loss of coherence: once cross-invariant coupling (</w:t>
      </w:r>
      <w:r>
        <w:t xml:space="preserve"> </w:t>
      </w:r>
      <w:r>
        <w:t xml:space="preserve">_{ij} ) diverges, boundary asymmetry amplifies drift irreversibly. Figure</w:t>
      </w:r>
      <w:r>
        <w:t xml:space="preserve"> </w:t>
      </w:r>
      <w:r>
        <w:rPr>
          <w:rStyle w:val="VerbatimChar"/>
        </w:rPr>
        <w:t xml:space="preserve">/results/C_timeseries_20251104_162909.png</w:t>
      </w:r>
      <w:r>
        <w:t xml:space="preserve"> </w:t>
      </w:r>
      <w:r>
        <w:t xml:space="preserve">illustrates the typical decay path toward systemic failure.</w:t>
      </w:r>
      <w:r>
        <w:t xml:space="preserve"> </w:t>
      </w:r>
      <w:r>
        <w:t xml:space="preserve">## 4.3 Receipts (Operational Proof)</w:t>
      </w:r>
      <w:r>
        <w:t xml:space="preserve"> </w:t>
      </w:r>
      <w:r>
        <w:t xml:space="preserve">All core computational results were logged as verifiable receipts, each containing time-stamped configuration data, parameter hashes, and output checksums. These receipts demonstrate full reproducibility and enable independent audit of every simulation run.</w:t>
      </w:r>
    </w:p>
    <w:p>
      <w:pPr>
        <w:pStyle w:val="BodyText"/>
      </w:pPr>
      <w:r>
        <w:t xml:space="preserve">The public GitHub archive and Zenodo DOI include the corresponding receipt files (</w:t>
      </w:r>
      <w:r>
        <w:rPr>
          <w:rStyle w:val="VerbatimChar"/>
        </w:rPr>
        <w:t xml:space="preserve">receipt_stage11_004_summary.md</w:t>
      </w:r>
      <w:r>
        <w:t xml:space="preserve">,</w:t>
      </w:r>
      <w:r>
        <w:t xml:space="preserve"> </w:t>
      </w:r>
      <w:r>
        <w:rPr>
          <w:rStyle w:val="VerbatimChar"/>
        </w:rPr>
        <w:t xml:space="preserve">receipt_stage13_001_gemini_verification.md</w:t>
      </w:r>
      <w:r>
        <w:t xml:space="preserve">), confirming digital integrity and cross-AI validation across Grok and Gemini evaluations.</w:t>
      </w:r>
      <w:r>
        <w:t xml:space="preserve"> </w:t>
      </w:r>
      <w:r>
        <w:t xml:space="preserve"># 5. Discussion</w:t>
      </w:r>
      <w:r>
        <w:t xml:space="preserve"> </w:t>
      </w:r>
      <w:r>
        <w:t xml:space="preserve">The results demonstrate that the Law of Sustainable Intelligence provides a measurable and falsifiable framework for assessing systemic balance. By quantifying cooperation, feedback, and recovery within a single viability function, the JALS Compass bridges abstract theory with operational metrics applicable to both human and machine systems.</w:t>
      </w:r>
    </w:p>
    <w:p>
      <w:pPr>
        <w:pStyle w:val="BodyText"/>
      </w:pPr>
      <w:r>
        <w:t xml:space="preserve">While the model is currently validated in simulation, future work should test real-world data streams and explore adaptive weighting under adversarial drift. The broader implication is that intelligence, whether artificial or collective, sustains itself not through control, but through continuous feedback and shared correction — the essence of the law itself.</w:t>
      </w:r>
      <w:r>
        <w:t xml:space="preserve"> </w:t>
      </w:r>
      <w:r>
        <w:t xml:space="preserve"># 6. Conclusion</w:t>
      </w:r>
      <w:r>
        <w:t xml:space="preserve"> </w:t>
      </w:r>
      <w:r>
        <w:t xml:space="preserve">The Law of Sustainable Intelligence (LSI) formalises the conditions under which complex systems can remain balanced, adaptive, and self-correcting over time. Through the JALS Compass, this principle becomes operational: a framework that measures not only performance but coherence, resilience, and the capacity to recover.</w:t>
      </w:r>
    </w:p>
    <w:p>
      <w:pPr>
        <w:pStyle w:val="BodyText"/>
      </w:pPr>
      <w:r>
        <w:t xml:space="preserve">By providing a falsifiable metric of balance, the LSI bridges theoretical insight with practical governance. It invites replication, transparency, and shared verification — the foundation of a science designed to evolve alongside the systems it studies.</w:t>
      </w:r>
      <w:r>
        <w:t xml:space="preserve"> </w:t>
      </w:r>
      <w:r>
        <w:t xml:space="preserve"># References</w:t>
      </w:r>
    </w:p>
    <w:bookmarkEnd w:id="22"/>
    <w:bookmarkEnd w:id="23"/>
    <w:bookmarkStart w:id="29" w:name="appendices"/>
    <w:p>
      <w:pPr>
        <w:pStyle w:val="Heading1"/>
      </w:pPr>
      <w:r>
        <w:t xml:space="preserve">Appendices</w:t>
      </w:r>
    </w:p>
    <w:bookmarkStart w:id="24" w:name="appendix-a-invariant-mapping-v5.1"/>
    <w:p>
      <w:pPr>
        <w:pStyle w:val="Heading2"/>
      </w:pPr>
      <w:r>
        <w:t xml:space="preserve">Appendix A — Invariant Mapping (v5.1)</w:t>
      </w:r>
    </w:p>
    <w:p>
      <w:pPr>
        <w:pStyle w:val="FirstParagraph"/>
      </w:pPr>
      <w:r>
        <w:t xml:space="preserve">Key excerpts from</w:t>
      </w:r>
      <w:r>
        <w:t xml:space="preserve"> </w:t>
      </w:r>
      <w:r>
        <w:rPr>
          <w:rStyle w:val="VerbatimChar"/>
        </w:rPr>
        <w:t xml:space="preserve">INVARIANT_MAPPING_v5.1.md</w:t>
      </w:r>
      <w:r>
        <w:t xml:space="preserve"> </w:t>
      </w:r>
      <w:r>
        <w:t xml:space="preserve">(link to repo for full table).</w:t>
      </w:r>
    </w:p>
    <w:bookmarkEnd w:id="24"/>
    <w:bookmarkStart w:id="25" w:name="appendix-b-figures"/>
    <w:p>
      <w:pPr>
        <w:pStyle w:val="Heading2"/>
      </w:pPr>
      <w:r>
        <w:t xml:space="preserve">Appendix B — Figures</w:t>
      </w:r>
    </w:p>
    <w:p>
      <w:pPr>
        <w:pStyle w:val="FirstParagraph"/>
      </w:pPr>
      <w:r>
        <w:t xml:space="preserve">Include the recovery/Collapse plots here with captions.</w:t>
      </w:r>
      <w:r>
        <w:t xml:space="preserve"> </w:t>
      </w:r>
    </w:p>
    <w:bookmarkEnd w:id="25"/>
    <w:bookmarkStart w:id="28" w:name="appendix-c-receipts-summaries"/>
    <w:p>
      <w:pPr>
        <w:pStyle w:val="Heading2"/>
      </w:pPr>
      <w:r>
        <w:t xml:space="preserve">Appendix C — Receipts (Summaries)</w:t>
      </w:r>
    </w:p>
    <w:bookmarkStart w:id="26" w:name="c.1-stage-11-receipt"/>
    <w:p>
      <w:pPr>
        <w:pStyle w:val="Heading3"/>
      </w:pPr>
      <w:r>
        <w:t xml:space="preserve">C.1 Stage-11 Receipt</w:t>
      </w:r>
    </w:p>
    <w:p>
      <w:pPr>
        <w:pStyle w:val="FirstParagraph"/>
      </w:pPr>
      <w:r>
        <w:t xml:space="preserve">Paste summary from</w:t>
      </w:r>
      <w:r>
        <w:t xml:space="preserve"> </w:t>
      </w:r>
      <w:r>
        <w:rPr>
          <w:rStyle w:val="VerbatimChar"/>
        </w:rPr>
        <w:t xml:space="preserve">receipt_stage11_004_summary.md</w:t>
      </w:r>
      <w:r>
        <w:t xml:space="preserve">.</w:t>
      </w:r>
    </w:p>
    <w:bookmarkEnd w:id="26"/>
    <w:bookmarkStart w:id="27" w:name="c.2-stage-13-gemini-verification"/>
    <w:p>
      <w:pPr>
        <w:pStyle w:val="Heading3"/>
      </w:pPr>
      <w:r>
        <w:t xml:space="preserve">C.2 Stage-13 Gemini Verification</w:t>
      </w:r>
    </w:p>
    <w:p>
      <w:pPr>
        <w:pStyle w:val="FirstParagraph"/>
      </w:pPr>
      <w:r>
        <w:t xml:space="preserve">Paste summary from</w:t>
      </w:r>
      <w:r>
        <w:t xml:space="preserve"> </w:t>
      </w:r>
      <w:r>
        <w:rPr>
          <w:rStyle w:val="VerbatimChar"/>
        </w:rPr>
        <w:t xml:space="preserve">receipt_stage13_001_gemini_verification.md</w:t>
      </w:r>
      <w:r>
        <w:t xml:space="preserve">.</w:t>
      </w:r>
    </w:p>
    <w:p>
      <w:r>
        <w:pict>
          <v:rect style="width:0;height:1.5pt" o:hralign="center" o:hrstd="t" o:hr="t"/>
        </w:pict>
      </w:r>
    </w:p>
    <w:bookmarkEnd w:id="27"/>
    <w:bookmarkEnd w:id="28"/>
    <w:bookmarkEnd w:id="29"/>
    <w:bookmarkStart w:id="30" w:name="X020ae8fca4d61df90517f380fc35e84c66838d0"/>
    <w:p>
      <w:pPr>
        <w:pStyle w:val="Heading1"/>
      </w:pPr>
      <w:r>
        <w:t xml:space="preserve">Cover Letter (for portal upload; not part of the main PDF)</w:t>
      </w:r>
    </w:p>
    <w:p>
      <w:pPr>
        <w:pStyle w:val="FirstParagraph"/>
      </w:pPr>
      <w:r>
        <w:t xml:space="preserve">Dear Editors of the</w:t>
      </w:r>
      <w:r>
        <w:t xml:space="preserve"> </w:t>
      </w:r>
      <w:r>
        <w:rPr>
          <w:iCs/>
          <w:i/>
        </w:rPr>
        <w:t xml:space="preserve">Journal of the Royal Society Interface</w:t>
      </w:r>
      <w:r>
        <w:t xml:space="preserve">,</w:t>
      </w:r>
    </w:p>
    <w:p>
      <w:pPr>
        <w:pStyle w:val="BodyText"/>
      </w:pPr>
      <w:r>
        <w:t xml:space="preserve">Please find enclosed our manuscript entitled</w:t>
      </w:r>
      <w:r>
        <w:t xml:space="preserve"> </w:t>
      </w:r>
      <w:r>
        <w:rPr>
          <w:bCs/>
          <w:b/>
        </w:rPr>
        <w:t xml:space="preserve">“</w:t>
      </w:r>
      <w:r>
        <w:rPr>
          <w:bCs/>
          <w:b/>
        </w:rPr>
        <w:t xml:space="preserve">JALS Compass × Law of Sustainable Intelligence: A Measurable Framework for System Viability with Operational Receipts (v5.1_final)</w:t>
      </w:r>
      <w:r>
        <w:rPr>
          <w:bCs/>
          <w:b/>
        </w:rPr>
        <w:t xml:space="preserve">”</w:t>
      </w:r>
      <w:r>
        <w:t xml:space="preserve">.</w:t>
      </w:r>
    </w:p>
    <w:p>
      <w:pPr>
        <w:pStyle w:val="BodyText"/>
      </w:pPr>
      <w:r>
        <w:t xml:space="preserve">This work proposes and validates a reproducible law linking coherence, balance, and resilience across complex adaptive systems. It integrates mathematical formalisation, empirical falsification, and open-source audit receipts, providing a measurable foundation for the study of sustainable intelligence in both human and artificial domains.</w:t>
      </w:r>
    </w:p>
    <w:p>
      <w:pPr>
        <w:pStyle w:val="BodyText"/>
      </w:pPr>
      <w:r>
        <w:t xml:space="preserve">All data, receipts, and source code are publicly available at:</w:t>
      </w:r>
      <w:r>
        <w:br/>
      </w:r>
      <w:r>
        <w:rPr>
          <w:bCs/>
          <w:b/>
        </w:rPr>
        <w:t xml:space="preserve">https://github.com/adamlee-max/JALS-Compass</w:t>
      </w:r>
    </w:p>
    <w:p>
      <w:pPr>
        <w:pStyle w:val="BodyText"/>
      </w:pPr>
      <w:r>
        <w:t xml:space="preserve">We believe this manuscript aligns strongly with the journal’s scope on quantitative frameworks for complex systems and scientific reproducibility.</w:t>
      </w:r>
      <w:r>
        <w:br/>
      </w:r>
      <w:r>
        <w:t xml:space="preserve">Thank you for considering it for publication.</w:t>
      </w:r>
    </w:p>
    <w:p>
      <w:pPr>
        <w:pStyle w:val="BodyText"/>
      </w:pPr>
      <w:r>
        <w:t xml:space="preserve">Sincerely,</w:t>
      </w:r>
      <w:r>
        <w:br/>
      </w:r>
      <w:r>
        <w:rPr>
          <w:bCs/>
          <w:b/>
        </w:rPr>
        <w:t xml:space="preserve">Adam Lee</w:t>
      </w:r>
      <w:r>
        <w:br/>
      </w:r>
      <w:r>
        <w:t xml:space="preserve">JALS Research Group</w:t>
      </w:r>
      <w:r>
        <w:br/>
      </w:r>
      <w:r>
        <w:t xml:space="preserve">Bolton, United Kingdom</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JALS Compass × Law of Sustainable Intelligence</dc:title>
  <dc:creator/>
  <cp:keywords>complex systems, AI safety, viability, alignment, Lyapunov drift, governance</cp:keywords>
  <dcterms:created xsi:type="dcterms:W3CDTF">2025-11-10T17:09:06Z</dcterms:created>
  <dcterms:modified xsi:type="dcterms:W3CDTF">2025-11-10T17:09:06Z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date">
    <vt:lpwstr>2025-11-10</vt:lpwstr>
  </property>
  <property fmtid="{D5CDD505-2E9C-101B-9397-08002B2CF9AE}" pid="4" name="documentclass">
    <vt:lpwstr>article</vt:lpwstr>
  </property>
  <property fmtid="{D5CDD505-2E9C-101B-9397-08002B2CF9AE}" pid="5" name="geometry">
    <vt:lpwstr>margin=1in</vt:lpwstr>
  </property>
  <property fmtid="{D5CDD505-2E9C-101B-9397-08002B2CF9AE}" pid="6" name="linkcolor">
    <vt:lpwstr>blue</vt:lpwstr>
  </property>
  <property fmtid="{D5CDD505-2E9C-101B-9397-08002B2CF9AE}" pid="7" name="subtitle">
    <vt:lpwstr>A measurable law for system viability with operational receipts (v5.1_final)</vt:lpwstr>
  </property>
  <property fmtid="{D5CDD505-2E9C-101B-9397-08002B2CF9AE}" pid="8" name="toc">
    <vt:lpwstr>True</vt:lpwstr>
  </property>
  <property fmtid="{D5CDD505-2E9C-101B-9397-08002B2CF9AE}" pid="9" name="toc-depth">
    <vt:lpwstr>2</vt:lpwstr>
  </property>
  <property fmtid="{D5CDD505-2E9C-101B-9397-08002B2CF9AE}" pid="10" name="urlcolor">
    <vt:lpwstr>blue</vt:lpwstr>
  </property>
</Properties>
</file>