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b/>
          <w:bCs/>
          <w:color w:val="F0A830"/>
          <w:spacing w:val="40"/>
          <w:sz w:val="20"/>
          <w:szCs w:val="20"/>
        </w:rPr>
        <w:t xml:space="preserve">VENTURE HOME SCHEDULER</w:t>
      </w:r>
    </w:p>
    <w:p>
      <w:pPr>
        <w:spacing w:after="120" w:before="0"/>
      </w:pPr>
      <w:r>
        <w:rPr>
          <w:b/>
          <w:bCs/>
          <w:sz w:val="44"/>
          <w:szCs w:val="44"/>
        </w:rPr>
        <w:t xml:space="preserve">Project Detail Document</w:t>
      </w:r>
    </w:p>
    <w:p>
      <w:pPr>
        <w:spacing w:after="480" w:before="0"/>
      </w:pPr>
      <w:r>
        <w:rPr>
          <w:i/>
          <w:iCs/>
          <w:color w:val="6B7280"/>
          <w:sz w:val="26"/>
          <w:szCs w:val="26"/>
        </w:rPr>
        <w:t xml:space="preserve">Intelligent calendar &amp; scheduling system for distributed solar sales teams</w:t>
      </w:r>
    </w:p>
    <w:p>
      <w:pPr>
        <w:pBdr>
          <w:bottom w:val="single" w:color="F0A830"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jc w:val="left"/>
            </w:pPr>
            <w:r>
              <w:rPr>
                <w:b/>
                <w:bCs/>
                <w:sz w:val="20"/>
                <w:szCs w:val="20"/>
              </w:rPr>
              <w:t xml:space="preserve">Prepared for</w:t>
            </w:r>
          </w:p>
        </w:tc>
        <w:tc>
          <w:tcPr>
            <w:tcW w:type="dxa" w:w="67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Adam Luria, Venture Home Solar</w:t>
            </w:r>
          </w:p>
        </w:tc>
      </w:tr>
      <w:tr>
        <w:tc>
          <w:tcPr>
            <w:tcW w:type="dxa" w:w="26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jc w:val="left"/>
            </w:pPr>
            <w:r>
              <w:rPr>
                <w:b/>
                <w:bCs/>
                <w:sz w:val="20"/>
                <w:szCs w:val="20"/>
              </w:rPr>
              <w:t xml:space="preserve">Status</w:t>
            </w:r>
          </w:p>
        </w:tc>
        <w:tc>
          <w:tcPr>
            <w:tcW w:type="dxa" w:w="67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Production (mock-mode) — deployed to Google Cloud Run</w:t>
            </w:r>
          </w:p>
        </w:tc>
      </w:tr>
      <w:tr>
        <w:tc>
          <w:tcPr>
            <w:tcW w:type="dxa" w:w="26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jc w:val="left"/>
            </w:pPr>
            <w:r>
              <w:rPr>
                <w:b/>
                <w:bCs/>
                <w:sz w:val="20"/>
                <w:szCs w:val="20"/>
              </w:rPr>
              <w:t xml:space="preserve">Live URL</w:t>
            </w:r>
          </w:p>
        </w:tc>
        <w:tc>
          <w:tcPr>
            <w:tcW w:type="dxa" w:w="67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Courier New" w:cs="Courier New" w:eastAsia="Courier New" w:hAnsi="Courier New"/>
                <w:b w:val="false"/>
                <w:bCs w:val="false"/>
                <w:sz w:val="20"/>
                <w:szCs w:val="20"/>
              </w:rPr>
              <w:t xml:space="preserve">https://venture-home-scheduler-9110064509.us-east1.run.app</w:t>
            </w:r>
          </w:p>
        </w:tc>
      </w:tr>
      <w:tr>
        <w:tc>
          <w:tcPr>
            <w:tcW w:type="dxa" w:w="26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jc w:val="left"/>
            </w:pPr>
            <w:r>
              <w:rPr>
                <w:b/>
                <w:bCs/>
                <w:sz w:val="20"/>
                <w:szCs w:val="20"/>
              </w:rPr>
              <w:t xml:space="preserve">Version</w:t>
            </w:r>
          </w:p>
        </w:tc>
        <w:tc>
          <w:tcPr>
            <w:tcW w:type="dxa" w:w="67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0.1.0 — initial deploy</w:t>
            </w:r>
          </w:p>
        </w:tc>
      </w:tr>
      <w:tr>
        <w:tc>
          <w:tcPr>
            <w:tcW w:type="dxa" w:w="26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jc w:val="left"/>
            </w:pPr>
            <w:r>
              <w:rPr>
                <w:b/>
                <w:bCs/>
                <w:sz w:val="20"/>
                <w:szCs w:val="20"/>
              </w:rPr>
              <w:t xml:space="preserve">Last updated</w:t>
            </w:r>
          </w:p>
        </w:tc>
        <w:tc>
          <w:tcPr>
            <w:tcW w:type="dxa" w:w="67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April 14, 2026</w:t>
            </w:r>
          </w:p>
        </w:tc>
      </w:tr>
    </w:tbl>
    <w:p>
      <w:r>
        <w:br w:type="page"/>
      </w:r>
    </w:p>
    <w:p>
      <w:pPr>
        <w:pStyle w:val="Heading1"/>
        <w:spacing w:after="180" w:before="360"/>
      </w:pPr>
      <w:r>
        <w:t xml:space="preserve">1. Executive Summary</w:t>
      </w:r>
    </w:p>
    <w:p>
      <w:pPr>
        <w:spacing w:after="80" w:before="80" w:line="300"/>
      </w:pPr>
      <w:r>
        <w:rPr>
          <w:sz w:val="22"/>
          <w:szCs w:val="22"/>
        </w:rPr>
        <w:t xml:space="preserve">The Venture Home Scheduler is a purpose-built appointment-management platform for Venture Home Solar's distributed field sales organization. It replaces ad-hoc scheduling with a territory-aware, data-driven system that optimizes rep assignment, forecasts demand, and provides partner self-service booking.</w:t>
      </w:r>
    </w:p>
    <w:p>
      <w:pPr>
        <w:spacing w:after="80" w:before="80" w:line="300"/>
      </w:pPr>
      <w:r>
        <w:rPr>
          <w:sz w:val="22"/>
          <w:szCs w:val="22"/>
        </w:rPr>
        <w:t xml:space="preserve">The system covers 7 territories across 9 Northeast and Mid-Atlantic states, supports a 51-rep field organization, and integrates with the tools the team already uses (Salesforce CRM, Google Calendar, and external partner booking APIs).</w:t>
      </w:r>
    </w:p>
    <w:p>
      <w:pPr>
        <w:pStyle w:val="Heading3"/>
        <w:spacing w:after="100" w:before="220"/>
      </w:pPr>
      <w:r>
        <w:t xml:space="preserve">What's live today</w:t>
      </w:r>
    </w:p>
    <w:p>
      <w:pPr>
        <w:pStyle w:val="ListParagraph"/>
        <w:numPr>
          <w:ilvl w:val="0"/>
          <w:numId w:val="2"/>
        </w:numPr>
        <w:spacing w:after="40" w:before="40" w:line="300"/>
      </w:pPr>
      <w:r>
        <w:rPr>
          <w:sz w:val="22"/>
          <w:szCs w:val="22"/>
        </w:rPr>
        <w:t xml:space="preserve">Full scheduler UI with day/week views, territory filtering, and appointment management</w:t>
      </w:r>
    </w:p>
    <w:p>
      <w:pPr>
        <w:pStyle w:val="ListParagraph"/>
        <w:numPr>
          <w:ilvl w:val="0"/>
          <w:numId w:val="2"/>
        </w:numPr>
        <w:spacing w:after="40" w:before="40" w:line="300"/>
      </w:pPr>
      <w:r>
        <w:rPr>
          <w:sz w:val="22"/>
          <w:szCs w:val="22"/>
        </w:rPr>
        <w:t xml:space="preserve">Predictive analytics engine built from 3 years of Salesforce history (8,047 demand records, 112,656 sit-rate observations)</w:t>
      </w:r>
    </w:p>
    <w:p>
      <w:pPr>
        <w:pStyle w:val="ListParagraph"/>
        <w:numPr>
          <w:ilvl w:val="0"/>
          <w:numId w:val="2"/>
        </w:numPr>
        <w:spacing w:after="40" w:before="40" w:line="300"/>
      </w:pPr>
      <w:r>
        <w:rPr>
          <w:sz w:val="22"/>
          <w:szCs w:val="22"/>
        </w:rPr>
        <w:t xml:space="preserve">Forecast panel: expected appointment volume, sit-rate predictions, and staffing recommendations by territory and day</w:t>
      </w:r>
    </w:p>
    <w:p>
      <w:pPr>
        <w:pStyle w:val="ListParagraph"/>
        <w:numPr>
          <w:ilvl w:val="0"/>
          <w:numId w:val="2"/>
        </w:numPr>
        <w:spacing w:after="40" w:before="40" w:line="300"/>
      </w:pPr>
      <w:r>
        <w:rPr>
          <w:sz w:val="22"/>
          <w:szCs w:val="22"/>
        </w:rPr>
        <w:t xml:space="preserve">Partner self-service booking pages (GreenWatt, Verse, SunLink, Lo Mano, Remix Dynamics)</w:t>
      </w:r>
    </w:p>
    <w:p>
      <w:pPr>
        <w:pStyle w:val="ListParagraph"/>
        <w:numPr>
          <w:ilvl w:val="0"/>
          <w:numId w:val="2"/>
        </w:numPr>
        <w:spacing w:after="40" w:before="40" w:line="300"/>
      </w:pPr>
      <w:r>
        <w:rPr>
          <w:sz w:val="22"/>
          <w:szCs w:val="22"/>
        </w:rPr>
        <w:t xml:space="preserve">Deployed to Google Cloud Run with automatic HTTPS and scale-to-zero pricing</w:t>
      </w:r>
    </w:p>
    <w:p>
      <w:pPr>
        <w:pStyle w:val="Heading3"/>
        <w:spacing w:after="100" w:before="220"/>
      </w:pPr>
      <w:r>
        <w:t xml:space="preserve">Key numbers from the data analysis</w:t>
      </w:r>
    </w:p>
    <w:p>
      <w:pPr>
        <w:pStyle w:val="ListParagraph"/>
        <w:numPr>
          <w:ilvl w:val="0"/>
          <w:numId w:val="2"/>
        </w:numPr>
        <w:spacing w:after="40" w:before="40" w:line="300"/>
      </w:pPr>
      <w:r>
        <w:rPr>
          <w:b/>
          <w:bCs/>
          <w:sz w:val="22"/>
          <w:szCs w:val="22"/>
        </w:rPr>
        <w:t xml:space="preserve">Overall sit rate: </w:t>
      </w:r>
      <w:r>
        <w:rPr>
          <w:sz w:val="22"/>
          <w:szCs w:val="22"/>
        </w:rPr>
        <w:t xml:space="preserve">30.8% (up from 28.4% a year ago)</w:t>
      </w:r>
    </w:p>
    <w:p>
      <w:pPr>
        <w:pStyle w:val="ListParagraph"/>
        <w:numPr>
          <w:ilvl w:val="0"/>
          <w:numId w:val="2"/>
        </w:numPr>
        <w:spacing w:after="40" w:before="40" w:line="300"/>
      </w:pPr>
      <w:r>
        <w:rPr>
          <w:b/>
          <w:bCs/>
          <w:sz w:val="22"/>
          <w:szCs w:val="22"/>
        </w:rPr>
        <w:t xml:space="preserve">Best-performing lead source: </w:t>
      </w:r>
      <w:r>
        <w:rPr>
          <w:sz w:val="22"/>
          <w:szCs w:val="22"/>
        </w:rPr>
        <w:t xml:space="preserve">Get the Referral at 46.9% sit rate</w:t>
      </w:r>
    </w:p>
    <w:p>
      <w:pPr>
        <w:pStyle w:val="ListParagraph"/>
        <w:numPr>
          <w:ilvl w:val="0"/>
          <w:numId w:val="2"/>
        </w:numPr>
        <w:spacing w:after="40" w:before="40" w:line="300"/>
      </w:pPr>
      <w:r>
        <w:rPr>
          <w:b/>
          <w:bCs/>
          <w:sz w:val="22"/>
          <w:szCs w:val="22"/>
        </w:rPr>
        <w:t xml:space="preserve">Peak demand season: </w:t>
      </w:r>
      <w:r>
        <w:rPr>
          <w:sz w:val="22"/>
          <w:szCs w:val="22"/>
        </w:rPr>
        <w:t xml:space="preserve">July–August (28% above annual average)</w:t>
      </w:r>
    </w:p>
    <w:p>
      <w:pPr>
        <w:pStyle w:val="ListParagraph"/>
        <w:numPr>
          <w:ilvl w:val="0"/>
          <w:numId w:val="2"/>
        </w:numPr>
        <w:spacing w:after="40" w:before="40" w:line="300"/>
      </w:pPr>
      <w:r>
        <w:rPr>
          <w:b/>
          <w:bCs/>
          <w:sz w:val="22"/>
          <w:szCs w:val="22"/>
        </w:rPr>
        <w:t xml:space="preserve">Busiest day: </w:t>
      </w:r>
      <w:r>
        <w:rPr>
          <w:sz w:val="22"/>
          <w:szCs w:val="22"/>
        </w:rPr>
        <w:t xml:space="preserve">Wednesday across all territories</w:t>
      </w:r>
    </w:p>
    <w:p>
      <w:pPr>
        <w:pStyle w:val="ListParagraph"/>
        <w:numPr>
          <w:ilvl w:val="0"/>
          <w:numId w:val="2"/>
        </w:numPr>
        <w:spacing w:after="40" w:before="40" w:line="300"/>
      </w:pPr>
      <w:r>
        <w:rPr>
          <w:b/>
          <w:bCs/>
          <w:sz w:val="22"/>
          <w:szCs w:val="22"/>
        </w:rPr>
        <w:t xml:space="preserve">Largest territory: </w:t>
      </w:r>
      <w:r>
        <w:rPr>
          <w:sz w:val="22"/>
          <w:szCs w:val="22"/>
        </w:rPr>
        <w:t xml:space="preserve">NY East — averages 9.1 appointments/day</w:t>
      </w:r>
    </w:p>
    <w:p>
      <w:pPr>
        <w:pStyle w:val="Heading1"/>
        <w:spacing w:after="180" w:before="360"/>
      </w:pPr>
      <w:r>
        <w:t xml:space="preserve">2. Technology Stack</w:t>
      </w:r>
    </w:p>
    <w:p>
      <w:pPr>
        <w:spacing w:after="80" w:before="80" w:line="300"/>
      </w:pPr>
      <w:r>
        <w:rPr>
          <w:sz w:val="22"/>
          <w:szCs w:val="22"/>
        </w:rPr>
        <w:t xml:space="preserve">The system is built as a single-page web application with a lightweight Express backend. It was designed for fast iteration, minimal operational overhead, and low cost at the team's current scale.</w:t>
      </w:r>
    </w:p>
    <w:p>
      <w:pPr>
        <w:pStyle w:val="Heading2"/>
        <w:spacing w:after="140" w:before="280"/>
      </w:pPr>
      <w:r>
        <w:t xml:space="preserve">2.1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4"/>
              <w:left w:val="single" w:color="D1D5DB" w:sz="4"/>
              <w:bottom w:val="single" w:color="D1D5DB" w:sz="4"/>
              <w:right w:val="single" w:color="D1D5DB" w:sz="4"/>
            </w:tcBorders>
            <w:shd w:fill="0A0D10" w:val="clear"/>
            <w:tcMar>
              <w:top w:type="dxa" w:w="100"/>
              <w:left w:type="dxa" w:w="140"/>
              <w:bottom w:type="dxa" w:w="100"/>
              <w:right w:type="dxa" w:w="140"/>
            </w:tcMar>
            <w:vAlign w:val="center"/>
          </w:tcPr>
          <w:p>
            <w:pPr>
              <w:jc w:val="left"/>
            </w:pPr>
            <w:r>
              <w:rPr>
                <w:b/>
                <w:bCs/>
                <w:color w:val="FFFFFF"/>
                <w:sz w:val="20"/>
                <w:szCs w:val="20"/>
              </w:rPr>
              <w:t xml:space="preserve">Layer</w:t>
            </w:r>
          </w:p>
        </w:tc>
        <w:tc>
          <w:tcPr>
            <w:tcW w:type="dxa" w:w="6560"/>
            <w:tcBorders>
              <w:top w:val="single" w:color="D1D5DB" w:sz="4"/>
              <w:left w:val="single" w:color="D1D5DB" w:sz="4"/>
              <w:bottom w:val="single" w:color="D1D5DB" w:sz="4"/>
              <w:right w:val="single" w:color="D1D5DB" w:sz="4"/>
            </w:tcBorders>
            <w:shd w:fill="0A0D10" w:val="clear"/>
            <w:tcMar>
              <w:top w:type="dxa" w:w="100"/>
              <w:left w:type="dxa" w:w="140"/>
              <w:bottom w:type="dxa" w:w="100"/>
              <w:right w:type="dxa" w:w="140"/>
            </w:tcMar>
            <w:vAlign w:val="center"/>
          </w:tcPr>
          <w:p>
            <w:pPr>
              <w:jc w:val="left"/>
            </w:pPr>
            <w:r>
              <w:rPr>
                <w:b/>
                <w:bCs/>
                <w:color w:val="FFFFFF"/>
                <w:sz w:val="20"/>
                <w:szCs w:val="20"/>
              </w:rPr>
              <w:t xml:space="preserve">Technology</w:t>
            </w:r>
          </w:p>
        </w:tc>
      </w:tr>
      <w:tr>
        <w:tc>
          <w:tcPr>
            <w:tcW w:type="dxa" w:w="2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jc w:val="left"/>
            </w:pPr>
            <w:r>
              <w:rPr>
                <w:b/>
                <w:bCs/>
                <w:sz w:val="20"/>
                <w:szCs w:val="20"/>
              </w:rPr>
              <w:t xml:space="preserve">Framework</w:t>
            </w:r>
          </w:p>
        </w:tc>
        <w:tc>
          <w:tcPr>
            <w:tcW w:type="dxa" w:w="6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React 18 (JSX, functional components + hooks)</w:t>
            </w:r>
          </w:p>
        </w:tc>
      </w:tr>
      <w:tr>
        <w:tc>
          <w:tcPr>
            <w:tcW w:type="dxa" w:w="2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jc w:val="left"/>
            </w:pPr>
            <w:r>
              <w:rPr>
                <w:b/>
                <w:bCs/>
                <w:sz w:val="20"/>
                <w:szCs w:val="20"/>
              </w:rPr>
              <w:t xml:space="preserve">Build tool</w:t>
            </w:r>
          </w:p>
        </w:tc>
        <w:tc>
          <w:tcPr>
            <w:tcW w:type="dxa" w:w="6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Vite 5 (fast dev reload, optimized production builds)</w:t>
            </w:r>
          </w:p>
        </w:tc>
      </w:tr>
      <w:tr>
        <w:tc>
          <w:tcPr>
            <w:tcW w:type="dxa" w:w="2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jc w:val="left"/>
            </w:pPr>
            <w:r>
              <w:rPr>
                <w:b/>
                <w:bCs/>
                <w:sz w:val="20"/>
                <w:szCs w:val="20"/>
              </w:rPr>
              <w:t xml:space="preserve">Styling</w:t>
            </w:r>
          </w:p>
        </w:tc>
        <w:tc>
          <w:tcPr>
            <w:tcW w:type="dxa" w:w="6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Inline styles with a shared theme token module (dark mode by default)</w:t>
            </w:r>
          </w:p>
        </w:tc>
      </w:tr>
      <w:tr>
        <w:tc>
          <w:tcPr>
            <w:tcW w:type="dxa" w:w="2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jc w:val="left"/>
            </w:pPr>
            <w:r>
              <w:rPr>
                <w:b/>
                <w:bCs/>
                <w:sz w:val="20"/>
                <w:szCs w:val="20"/>
              </w:rPr>
              <w:t xml:space="preserve">Icons</w:t>
            </w:r>
          </w:p>
        </w:tc>
        <w:tc>
          <w:tcPr>
            <w:tcW w:type="dxa" w:w="6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lucide-react</w:t>
            </w:r>
          </w:p>
        </w:tc>
      </w:tr>
      <w:tr>
        <w:tc>
          <w:tcPr>
            <w:tcW w:type="dxa" w:w="2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jc w:val="left"/>
            </w:pPr>
            <w:r>
              <w:rPr>
                <w:b/>
                <w:bCs/>
                <w:sz w:val="20"/>
                <w:szCs w:val="20"/>
              </w:rPr>
              <w:t xml:space="preserve">Routing</w:t>
            </w:r>
          </w:p>
        </w:tc>
        <w:tc>
          <w:tcPr>
            <w:tcW w:type="dxa" w:w="6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Hash-based routing (no react-router dependency)</w:t>
            </w:r>
          </w:p>
        </w:tc>
      </w:tr>
      <w:tr>
        <w:tc>
          <w:tcPr>
            <w:tcW w:type="dxa" w:w="2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jc w:val="left"/>
            </w:pPr>
            <w:r>
              <w:rPr>
                <w:b/>
                <w:bCs/>
                <w:sz w:val="20"/>
                <w:szCs w:val="20"/>
              </w:rPr>
              <w:t xml:space="preserve">Typography</w:t>
            </w:r>
          </w:p>
        </w:tc>
        <w:tc>
          <w:tcPr>
            <w:tcW w:type="dxa" w:w="6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JetBrains Mono (data), Outfit (UI)</w:t>
            </w:r>
          </w:p>
        </w:tc>
      </w:tr>
    </w:tbl>
    <w:p>
      <w:pPr>
        <w:pStyle w:val="Heading2"/>
        <w:spacing w:after="140" w:before="280"/>
      </w:pPr>
      <w:r>
        <w:t xml:space="preserve">2.2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4"/>
              <w:left w:val="single" w:color="D1D5DB" w:sz="4"/>
              <w:bottom w:val="single" w:color="D1D5DB" w:sz="4"/>
              <w:right w:val="single" w:color="D1D5DB" w:sz="4"/>
            </w:tcBorders>
            <w:shd w:fill="0A0D10" w:val="clear"/>
            <w:tcMar>
              <w:top w:type="dxa" w:w="100"/>
              <w:left w:type="dxa" w:w="140"/>
              <w:bottom w:type="dxa" w:w="100"/>
              <w:right w:type="dxa" w:w="140"/>
            </w:tcMar>
            <w:vAlign w:val="center"/>
          </w:tcPr>
          <w:p>
            <w:pPr>
              <w:jc w:val="left"/>
            </w:pPr>
            <w:r>
              <w:rPr>
                <w:b/>
                <w:bCs/>
                <w:color w:val="FFFFFF"/>
                <w:sz w:val="20"/>
                <w:szCs w:val="20"/>
              </w:rPr>
              <w:t xml:space="preserve">Layer</w:t>
            </w:r>
          </w:p>
        </w:tc>
        <w:tc>
          <w:tcPr>
            <w:tcW w:type="dxa" w:w="6560"/>
            <w:tcBorders>
              <w:top w:val="single" w:color="D1D5DB" w:sz="4"/>
              <w:left w:val="single" w:color="D1D5DB" w:sz="4"/>
              <w:bottom w:val="single" w:color="D1D5DB" w:sz="4"/>
              <w:right w:val="single" w:color="D1D5DB" w:sz="4"/>
            </w:tcBorders>
            <w:shd w:fill="0A0D10" w:val="clear"/>
            <w:tcMar>
              <w:top w:type="dxa" w:w="100"/>
              <w:left w:type="dxa" w:w="140"/>
              <w:bottom w:type="dxa" w:w="100"/>
              <w:right w:type="dxa" w:w="140"/>
            </w:tcMar>
            <w:vAlign w:val="center"/>
          </w:tcPr>
          <w:p>
            <w:pPr>
              <w:jc w:val="left"/>
            </w:pPr>
            <w:r>
              <w:rPr>
                <w:b/>
                <w:bCs/>
                <w:color w:val="FFFFFF"/>
                <w:sz w:val="20"/>
                <w:szCs w:val="20"/>
              </w:rPr>
              <w:t xml:space="preserve">Technology</w:t>
            </w:r>
          </w:p>
        </w:tc>
      </w:tr>
      <w:tr>
        <w:tc>
          <w:tcPr>
            <w:tcW w:type="dxa" w:w="2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jc w:val="left"/>
            </w:pPr>
            <w:r>
              <w:rPr>
                <w:b/>
                <w:bCs/>
                <w:sz w:val="20"/>
                <w:szCs w:val="20"/>
              </w:rPr>
              <w:t xml:space="preserve">Runtime</w:t>
            </w:r>
          </w:p>
        </w:tc>
        <w:tc>
          <w:tcPr>
            <w:tcW w:type="dxa" w:w="6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Node.js 20 (slim Docker base image)</w:t>
            </w:r>
          </w:p>
        </w:tc>
      </w:tr>
      <w:tr>
        <w:tc>
          <w:tcPr>
            <w:tcW w:type="dxa" w:w="2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jc w:val="left"/>
            </w:pPr>
            <w:r>
              <w:rPr>
                <w:b/>
                <w:bCs/>
                <w:sz w:val="20"/>
                <w:szCs w:val="20"/>
              </w:rPr>
              <w:t xml:space="preserve">Framework</w:t>
            </w:r>
          </w:p>
        </w:tc>
        <w:tc>
          <w:tcPr>
            <w:tcW w:type="dxa" w:w="6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Express 5</w:t>
            </w:r>
          </w:p>
        </w:tc>
      </w:tr>
      <w:tr>
        <w:tc>
          <w:tcPr>
            <w:tcW w:type="dxa" w:w="2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jc w:val="left"/>
            </w:pPr>
            <w:r>
              <w:rPr>
                <w:b/>
                <w:bCs/>
                <w:sz w:val="20"/>
                <w:szCs w:val="20"/>
              </w:rPr>
              <w:t xml:space="preserve">Auth</w:t>
            </w:r>
          </w:p>
        </w:tc>
        <w:tc>
          <w:tcPr>
            <w:tcW w:type="dxa" w:w="6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Google OAuth 2.0 for Calendar (skeleton); Salesforce Connected App (scaffolded)</w:t>
            </w:r>
          </w:p>
        </w:tc>
      </w:tr>
      <w:tr>
        <w:tc>
          <w:tcPr>
            <w:tcW w:type="dxa" w:w="2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jc w:val="left"/>
            </w:pPr>
            <w:r>
              <w:rPr>
                <w:b/>
                <w:bCs/>
                <w:sz w:val="20"/>
                <w:szCs w:val="20"/>
              </w:rPr>
              <w:t xml:space="preserve">Config</w:t>
            </w:r>
          </w:p>
        </w:tc>
        <w:tc>
          <w:tcPr>
            <w:tcW w:type="dxa" w:w="6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dotenv for local dev, Cloud Run env vars in production</w:t>
            </w:r>
          </w:p>
        </w:tc>
      </w:tr>
      <w:tr>
        <w:tc>
          <w:tcPr>
            <w:tcW w:type="dxa" w:w="2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jc w:val="left"/>
            </w:pPr>
            <w:r>
              <w:rPr>
                <w:b/>
                <w:bCs/>
                <w:sz w:val="20"/>
                <w:szCs w:val="20"/>
              </w:rPr>
              <w:t xml:space="preserve">CORS</w:t>
            </w:r>
          </w:p>
        </w:tc>
        <w:tc>
          <w:tcPr>
            <w:tcW w:type="dxa" w:w="6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Same-origin in production, configurable in dev</w:t>
            </w:r>
          </w:p>
        </w:tc>
      </w:tr>
    </w:tbl>
    <w:p>
      <w:pPr>
        <w:pStyle w:val="Heading2"/>
        <w:spacing w:after="140" w:before="280"/>
      </w:pPr>
      <w:r>
        <w:t xml:space="preserve">2.3 Infrastructure &amp;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4"/>
              <w:left w:val="single" w:color="D1D5DB" w:sz="4"/>
              <w:bottom w:val="single" w:color="D1D5DB" w:sz="4"/>
              <w:right w:val="single" w:color="D1D5DB" w:sz="4"/>
            </w:tcBorders>
            <w:shd w:fill="0A0D10" w:val="clear"/>
            <w:tcMar>
              <w:top w:type="dxa" w:w="100"/>
              <w:left w:type="dxa" w:w="140"/>
              <w:bottom w:type="dxa" w:w="100"/>
              <w:right w:type="dxa" w:w="140"/>
            </w:tcMar>
            <w:vAlign w:val="center"/>
          </w:tcPr>
          <w:p>
            <w:pPr>
              <w:jc w:val="left"/>
            </w:pPr>
            <w:r>
              <w:rPr>
                <w:b/>
                <w:bCs/>
                <w:color w:val="FFFFFF"/>
                <w:sz w:val="20"/>
                <w:szCs w:val="20"/>
              </w:rPr>
              <w:t xml:space="preserve">Component</w:t>
            </w:r>
          </w:p>
        </w:tc>
        <w:tc>
          <w:tcPr>
            <w:tcW w:type="dxa" w:w="6560"/>
            <w:tcBorders>
              <w:top w:val="single" w:color="D1D5DB" w:sz="4"/>
              <w:left w:val="single" w:color="D1D5DB" w:sz="4"/>
              <w:bottom w:val="single" w:color="D1D5DB" w:sz="4"/>
              <w:right w:val="single" w:color="D1D5DB" w:sz="4"/>
            </w:tcBorders>
            <w:shd w:fill="0A0D10" w:val="clear"/>
            <w:tcMar>
              <w:top w:type="dxa" w:w="100"/>
              <w:left w:type="dxa" w:w="140"/>
              <w:bottom w:type="dxa" w:w="100"/>
              <w:right w:type="dxa" w:w="140"/>
            </w:tcMar>
            <w:vAlign w:val="center"/>
          </w:tcPr>
          <w:p>
            <w:pPr>
              <w:jc w:val="left"/>
            </w:pPr>
            <w:r>
              <w:rPr>
                <w:b/>
                <w:bCs/>
                <w:color w:val="FFFFFF"/>
                <w:sz w:val="20"/>
                <w:szCs w:val="20"/>
              </w:rPr>
              <w:t xml:space="preserve">Details</w:t>
            </w:r>
          </w:p>
        </w:tc>
      </w:tr>
      <w:tr>
        <w:tc>
          <w:tcPr>
            <w:tcW w:type="dxa" w:w="2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jc w:val="left"/>
            </w:pPr>
            <w:r>
              <w:rPr>
                <w:b/>
                <w:bCs/>
                <w:sz w:val="20"/>
                <w:szCs w:val="20"/>
              </w:rPr>
              <w:t xml:space="preserve">Hosting</w:t>
            </w:r>
          </w:p>
        </w:tc>
        <w:tc>
          <w:tcPr>
            <w:tcW w:type="dxa" w:w="6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Google Cloud Run (us-east1 region)</w:t>
            </w:r>
          </w:p>
        </w:tc>
      </w:tr>
      <w:tr>
        <w:tc>
          <w:tcPr>
            <w:tcW w:type="dxa" w:w="2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jc w:val="left"/>
            </w:pPr>
            <w:r>
              <w:rPr>
                <w:b/>
                <w:bCs/>
                <w:sz w:val="20"/>
                <w:szCs w:val="20"/>
              </w:rPr>
              <w:t xml:space="preserve">Build</w:t>
            </w:r>
          </w:p>
        </w:tc>
        <w:tc>
          <w:tcPr>
            <w:tcW w:type="dxa" w:w="6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Google Cloud Build using project Dockerfile (multi-stage)</w:t>
            </w:r>
          </w:p>
        </w:tc>
      </w:tr>
      <w:tr>
        <w:tc>
          <w:tcPr>
            <w:tcW w:type="dxa" w:w="2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jc w:val="left"/>
            </w:pPr>
            <w:r>
              <w:rPr>
                <w:b/>
                <w:bCs/>
                <w:sz w:val="20"/>
                <w:szCs w:val="20"/>
              </w:rPr>
              <w:t xml:space="preserve">Container registry</w:t>
            </w:r>
          </w:p>
        </w:tc>
        <w:tc>
          <w:tcPr>
            <w:tcW w:type="dxa" w:w="6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Google Artifact Registry</w:t>
            </w:r>
          </w:p>
        </w:tc>
      </w:tr>
      <w:tr>
        <w:tc>
          <w:tcPr>
            <w:tcW w:type="dxa" w:w="2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jc w:val="left"/>
            </w:pPr>
            <w:r>
              <w:rPr>
                <w:b/>
                <w:bCs/>
                <w:sz w:val="20"/>
                <w:szCs w:val="20"/>
              </w:rPr>
              <w:t xml:space="preserve">Scaling</w:t>
            </w:r>
          </w:p>
        </w:tc>
        <w:tc>
          <w:tcPr>
            <w:tcW w:type="dxa" w:w="6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Scale-to-zero (no cost when idle), auto-scales to demand</w:t>
            </w:r>
          </w:p>
        </w:tc>
      </w:tr>
      <w:tr>
        <w:tc>
          <w:tcPr>
            <w:tcW w:type="dxa" w:w="2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jc w:val="left"/>
            </w:pPr>
            <w:r>
              <w:rPr>
                <w:b/>
                <w:bCs/>
                <w:sz w:val="20"/>
                <w:szCs w:val="20"/>
              </w:rPr>
              <w:t xml:space="preserve">TLS / HTTPS</w:t>
            </w:r>
          </w:p>
        </w:tc>
        <w:tc>
          <w:tcPr>
            <w:tcW w:type="dxa" w:w="6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Automatic, managed by Google</w:t>
            </w:r>
          </w:p>
        </w:tc>
      </w:tr>
      <w:tr>
        <w:tc>
          <w:tcPr>
            <w:tcW w:type="dxa" w:w="2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jc w:val="left"/>
            </w:pPr>
            <w:r>
              <w:rPr>
                <w:b/>
                <w:bCs/>
                <w:sz w:val="20"/>
                <w:szCs w:val="20"/>
              </w:rPr>
              <w:t xml:space="preserve">Estimated cost</w:t>
            </w:r>
          </w:p>
        </w:tc>
        <w:tc>
          <w:tcPr>
            <w:tcW w:type="dxa" w:w="6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$0–10/month at current team size (within $300 free tier credit)</w:t>
            </w:r>
          </w:p>
        </w:tc>
      </w:tr>
    </w:tbl>
    <w:p>
      <w:pPr>
        <w:pStyle w:val="Heading2"/>
        <w:spacing w:after="140" w:before="280"/>
      </w:pPr>
      <w:r>
        <w:t xml:space="preserve">2.4 Integrations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D1D5DB" w:sz="4"/>
              <w:left w:val="single" w:color="D1D5DB" w:sz="4"/>
              <w:bottom w:val="single" w:color="D1D5DB" w:sz="4"/>
              <w:right w:val="single" w:color="D1D5DB" w:sz="4"/>
            </w:tcBorders>
            <w:shd w:fill="0A0D10" w:val="clear"/>
            <w:tcMar>
              <w:top w:type="dxa" w:w="100"/>
              <w:left w:type="dxa" w:w="140"/>
              <w:bottom w:type="dxa" w:w="100"/>
              <w:right w:type="dxa" w:w="140"/>
            </w:tcMar>
            <w:vAlign w:val="center"/>
          </w:tcPr>
          <w:p>
            <w:pPr>
              <w:jc w:val="left"/>
            </w:pPr>
            <w:r>
              <w:rPr>
                <w:b/>
                <w:bCs/>
                <w:color w:val="FFFFFF"/>
                <w:sz w:val="20"/>
                <w:szCs w:val="20"/>
              </w:rPr>
              <w:t xml:space="preserve">Integration</w:t>
            </w:r>
          </w:p>
        </w:tc>
        <w:tc>
          <w:tcPr>
            <w:tcW w:type="dxa" w:w="1800"/>
            <w:tcBorders>
              <w:top w:val="single" w:color="D1D5DB" w:sz="4"/>
              <w:left w:val="single" w:color="D1D5DB" w:sz="4"/>
              <w:bottom w:val="single" w:color="D1D5DB" w:sz="4"/>
              <w:right w:val="single" w:color="D1D5DB" w:sz="4"/>
            </w:tcBorders>
            <w:shd w:fill="0A0D10" w:val="clear"/>
            <w:tcMar>
              <w:top w:type="dxa" w:w="100"/>
              <w:left w:type="dxa" w:w="140"/>
              <w:bottom w:type="dxa" w:w="100"/>
              <w:right w:type="dxa" w:w="140"/>
            </w:tcMar>
            <w:vAlign w:val="center"/>
          </w:tcPr>
          <w:p>
            <w:pPr>
              <w:jc w:val="left"/>
            </w:pPr>
            <w:r>
              <w:rPr>
                <w:b/>
                <w:bCs/>
                <w:color w:val="FFFFFF"/>
                <w:sz w:val="20"/>
                <w:szCs w:val="20"/>
              </w:rPr>
              <w:t xml:space="preserve">Status</w:t>
            </w:r>
          </w:p>
        </w:tc>
        <w:tc>
          <w:tcPr>
            <w:tcW w:type="dxa" w:w="4360"/>
            <w:tcBorders>
              <w:top w:val="single" w:color="D1D5DB" w:sz="4"/>
              <w:left w:val="single" w:color="D1D5DB" w:sz="4"/>
              <w:bottom w:val="single" w:color="D1D5DB" w:sz="4"/>
              <w:right w:val="single" w:color="D1D5DB" w:sz="4"/>
            </w:tcBorders>
            <w:shd w:fill="0A0D10" w:val="clear"/>
            <w:tcMar>
              <w:top w:type="dxa" w:w="100"/>
              <w:left w:type="dxa" w:w="140"/>
              <w:bottom w:type="dxa" w:w="100"/>
              <w:right w:type="dxa" w:w="140"/>
            </w:tcMar>
            <w:vAlign w:val="center"/>
          </w:tcPr>
          <w:p>
            <w:pPr>
              <w:jc w:val="left"/>
            </w:pPr>
            <w:r>
              <w:rPr>
                <w:b/>
                <w:bCs/>
                <w:color w:val="FFFFFF"/>
                <w:sz w:val="20"/>
                <w:szCs w:val="20"/>
              </w:rPr>
              <w:t xml:space="preserve">Notes</w:t>
            </w:r>
          </w:p>
        </w:tc>
      </w:tr>
      <w:tr>
        <w:tc>
          <w:tcPr>
            <w:tcW w:type="dxa" w:w="3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Google Calendar API</w:t>
            </w:r>
          </w:p>
        </w:tc>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bCs/>
                <w:color w:val="B45309"/>
                <w:sz w:val="20"/>
                <w:szCs w:val="20"/>
              </w:rPr>
              <w:t xml:space="preserve">Mock</w:t>
            </w:r>
          </w:p>
        </w:tc>
        <w:tc>
          <w:tcPr>
            <w:tcW w:type="dxa" w:w="4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Backend endpoints scaffolded; OAuth flow ready to activate</w:t>
            </w:r>
          </w:p>
        </w:tc>
      </w:tr>
      <w:tr>
        <w:tc>
          <w:tcPr>
            <w:tcW w:type="dxa" w:w="3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Salesforce CRM</w:t>
            </w:r>
          </w:p>
        </w:tc>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bCs/>
                <w:color w:val="B45309"/>
                <w:sz w:val="20"/>
                <w:szCs w:val="20"/>
              </w:rPr>
              <w:t xml:space="preserve">Mock</w:t>
            </w:r>
          </w:p>
        </w:tc>
        <w:tc>
          <w:tcPr>
            <w:tcW w:type="dxa" w:w="4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Connected App credentials pending; SOQL queries documented</w:t>
            </w:r>
          </w:p>
        </w:tc>
      </w:tr>
      <w:tr>
        <w:tc>
          <w:tcPr>
            <w:tcW w:type="dxa" w:w="3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SMS / Email notifications</w:t>
            </w:r>
          </w:p>
        </w:tc>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bCs/>
                <w:color w:val="6B7280"/>
                <w:sz w:val="20"/>
                <w:szCs w:val="20"/>
              </w:rPr>
              <w:t xml:space="preserve">Pending</w:t>
            </w:r>
          </w:p>
        </w:tc>
        <w:tc>
          <w:tcPr>
            <w:tcW w:type="dxa" w:w="4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Provider not yet selected (candidates: Twilio, SendGrid)</w:t>
            </w:r>
          </w:p>
        </w:tc>
      </w:tr>
      <w:tr>
        <w:tc>
          <w:tcPr>
            <w:tcW w:type="dxa" w:w="3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GreenWatt booking API</w:t>
            </w:r>
          </w:p>
        </w:tc>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bCs/>
                <w:color w:val="6B7280"/>
                <w:sz w:val="20"/>
                <w:szCs w:val="20"/>
              </w:rPr>
              <w:t xml:space="preserve">Pending</w:t>
            </w:r>
          </w:p>
        </w:tc>
        <w:tc>
          <w:tcPr>
            <w:tcW w:type="dxa" w:w="4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Partner booking page live, API handshake pending</w:t>
            </w:r>
          </w:p>
        </w:tc>
      </w:tr>
      <w:tr>
        <w:tc>
          <w:tcPr>
            <w:tcW w:type="dxa" w:w="3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Verse, SunLink, Lo Mano, Remix</w:t>
            </w:r>
          </w:p>
        </w:tc>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bCs/>
                <w:color w:val="6B7280"/>
                <w:sz w:val="20"/>
                <w:szCs w:val="20"/>
              </w:rPr>
              <w:t xml:space="preserve">Pending</w:t>
            </w:r>
          </w:p>
        </w:tc>
        <w:tc>
          <w:tcPr>
            <w:tcW w:type="dxa" w:w="4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Booking pages deployed; API credentials needed</w:t>
            </w:r>
          </w:p>
        </w:tc>
      </w:tr>
    </w:tbl>
    <w:p>
      <w:r>
        <w:br w:type="page"/>
      </w:r>
    </w:p>
    <w:p>
      <w:pPr>
        <w:pStyle w:val="Heading1"/>
        <w:spacing w:after="180" w:before="360"/>
      </w:pPr>
      <w:r>
        <w:t xml:space="preserve">3. Architecture Overview</w:t>
      </w:r>
    </w:p>
    <w:p>
      <w:pPr>
        <w:spacing w:after="80" w:before="80" w:line="300"/>
      </w:pPr>
      <w:r>
        <w:rPr>
          <w:sz w:val="22"/>
          <w:szCs w:val="22"/>
        </w:rPr>
        <w:t xml:space="preserve">The system runs as a single containerized service on Google Cloud Run. The Express backend serves both the built React frontend (from the dist/ folder) and the API endpoints under /api and /auth. This keeps the deployment footprint small and eliminates cross-origin complexity.</w:t>
      </w:r>
    </w:p>
    <w:p>
      <w:pPr>
        <w:pStyle w:val="Heading2"/>
        <w:spacing w:after="140" w:before="280"/>
      </w:pPr>
      <w:r>
        <w:t xml:space="preserve">3.1 Request flow</w:t>
      </w:r>
    </w:p>
    <w:p>
      <w:pPr>
        <w:spacing w:after="80" w:before="80" w:line="300"/>
      </w:pPr>
      <w:r>
        <w:rPr>
          <w:sz w:val="22"/>
          <w:szCs w:val="22"/>
        </w:rPr>
        <w:t xml:space="preserve">When a user visits the app URL, the following happens:</w:t>
      </w:r>
    </w:p>
    <w:p>
      <w:pPr>
        <w:pStyle w:val="ListParagraph"/>
        <w:numPr>
          <w:ilvl w:val="0"/>
          <w:numId w:val="2"/>
        </w:numPr>
        <w:spacing w:after="40" w:before="40" w:line="300"/>
      </w:pPr>
      <w:r>
        <w:rPr>
          <w:sz w:val="22"/>
          <w:szCs w:val="22"/>
        </w:rPr>
        <w:t xml:space="preserve">Cloud Run routes the request to the Node.js container</w:t>
      </w:r>
    </w:p>
    <w:p>
      <w:pPr>
        <w:pStyle w:val="ListParagraph"/>
        <w:numPr>
          <w:ilvl w:val="0"/>
          <w:numId w:val="2"/>
        </w:numPr>
        <w:spacing w:after="40" w:before="40" w:line="300"/>
      </w:pPr>
      <w:r>
        <w:rPr>
          <w:sz w:val="22"/>
          <w:szCs w:val="22"/>
        </w:rPr>
        <w:t xml:space="preserve">Express serves index.html for any non-API route (SPA fallback)</w:t>
      </w:r>
    </w:p>
    <w:p>
      <w:pPr>
        <w:pStyle w:val="ListParagraph"/>
        <w:numPr>
          <w:ilvl w:val="0"/>
          <w:numId w:val="2"/>
        </w:numPr>
        <w:spacing w:after="40" w:before="40" w:line="300"/>
      </w:pPr>
      <w:r>
        <w:rPr>
          <w:sz w:val="22"/>
          <w:szCs w:val="22"/>
        </w:rPr>
        <w:t xml:space="preserve">The browser loads the React bundle (~235 KB compressed to ~68 KB gzipped)</w:t>
      </w:r>
    </w:p>
    <w:p>
      <w:pPr>
        <w:pStyle w:val="ListParagraph"/>
        <w:numPr>
          <w:ilvl w:val="0"/>
          <w:numId w:val="2"/>
        </w:numPr>
        <w:spacing w:after="40" w:before="40" w:line="300"/>
      </w:pPr>
      <w:r>
        <w:rPr>
          <w:sz w:val="22"/>
          <w:szCs w:val="22"/>
        </w:rPr>
        <w:t xml:space="preserve">React hydrates the UI and loads mock or live data via /api endpoints</w:t>
      </w:r>
    </w:p>
    <w:p>
      <w:pPr>
        <w:pStyle w:val="ListParagraph"/>
        <w:numPr>
          <w:ilvl w:val="0"/>
          <w:numId w:val="2"/>
        </w:numPr>
        <w:spacing w:after="40" w:before="40" w:line="300"/>
      </w:pPr>
      <w:r>
        <w:rPr>
          <w:sz w:val="22"/>
          <w:szCs w:val="22"/>
        </w:rPr>
        <w:t xml:space="preserve">For partner booking, the URL hash (#/book/greenwatt) triggers the booking page component</w:t>
      </w:r>
    </w:p>
    <w:p>
      <w:pPr>
        <w:pStyle w:val="Heading2"/>
        <w:spacing w:after="140" w:before="280"/>
      </w:pPr>
      <w:r>
        <w:t xml:space="preserve">3.2 Data layer</w:t>
      </w:r>
    </w:p>
    <w:p>
      <w:pPr>
        <w:spacing w:after="80" w:before="80" w:line="300"/>
      </w:pPr>
      <w:r>
        <w:rPr>
          <w:sz w:val="22"/>
          <w:szCs w:val="22"/>
        </w:rPr>
        <w:t xml:space="preserve">All forecast and reference data is embedded as JavaScript constants derived from the Salesforce analysis. No database is required at this stage — the model weights are static and updated by redeploying when new Salesforce data becomes available. This dramatically simplifies operations.</w:t>
      </w:r>
    </w:p>
    <w:p>
      <w:pPr>
        <w:pStyle w:val="ListParagraph"/>
        <w:numPr>
          <w:ilvl w:val="0"/>
          <w:numId w:val="2"/>
        </w:numPr>
        <w:spacing w:after="40" w:before="40" w:line="300"/>
      </w:pPr>
      <w:r>
        <w:rPr>
          <w:b/>
          <w:bCs/>
          <w:sz w:val="22"/>
          <w:szCs w:val="22"/>
        </w:rPr>
        <w:t xml:space="preserve">forecastEngine.js — </w:t>
      </w:r>
      <w:r>
        <w:rPr>
          <w:sz w:val="22"/>
          <w:szCs w:val="22"/>
        </w:rPr>
        <w:t xml:space="preserve">demand forecast model + sit-rate prediction, built from 3 years of data</w:t>
      </w:r>
    </w:p>
    <w:p>
      <w:pPr>
        <w:pStyle w:val="ListParagraph"/>
        <w:numPr>
          <w:ilvl w:val="0"/>
          <w:numId w:val="2"/>
        </w:numPr>
        <w:spacing w:after="40" w:before="40" w:line="300"/>
      </w:pPr>
      <w:r>
        <w:rPr>
          <w:b/>
          <w:bCs/>
          <w:sz w:val="22"/>
          <w:szCs w:val="22"/>
        </w:rPr>
        <w:t xml:space="preserve">mockData.js — </w:t>
      </w:r>
      <w:r>
        <w:rPr>
          <w:sz w:val="22"/>
          <w:szCs w:val="22"/>
        </w:rPr>
        <w:t xml:space="preserve">51-rep roster, territories, mock appointments</w:t>
      </w:r>
    </w:p>
    <w:p>
      <w:pPr>
        <w:pStyle w:val="ListParagraph"/>
        <w:numPr>
          <w:ilvl w:val="0"/>
          <w:numId w:val="2"/>
        </w:numPr>
        <w:spacing w:after="40" w:before="40" w:line="300"/>
      </w:pPr>
      <w:r>
        <w:rPr>
          <w:b/>
          <w:bCs/>
          <w:sz w:val="22"/>
          <w:szCs w:val="22"/>
        </w:rPr>
        <w:t xml:space="preserve">theme.js — </w:t>
      </w:r>
      <w:r>
        <w:rPr>
          <w:sz w:val="22"/>
          <w:szCs w:val="22"/>
        </w:rPr>
        <w:t xml:space="preserve">shared design tokens (colors, fonts, territories)</w:t>
      </w:r>
    </w:p>
    <w:p>
      <w:pPr>
        <w:pStyle w:val="ListParagraph"/>
        <w:numPr>
          <w:ilvl w:val="0"/>
          <w:numId w:val="2"/>
        </w:numPr>
        <w:spacing w:after="40" w:before="40" w:line="300"/>
      </w:pPr>
      <w:r>
        <w:rPr>
          <w:b/>
          <w:bCs/>
          <w:sz w:val="22"/>
          <w:szCs w:val="22"/>
        </w:rPr>
        <w:t xml:space="preserve">partners.js — </w:t>
      </w:r>
      <w:r>
        <w:rPr>
          <w:sz w:val="22"/>
          <w:szCs w:val="22"/>
        </w:rPr>
        <w:t xml:space="preserve">partner definitions for booking pages</w:t>
      </w:r>
    </w:p>
    <w:p>
      <w:pPr>
        <w:pStyle w:val="ListParagraph"/>
        <w:numPr>
          <w:ilvl w:val="0"/>
          <w:numId w:val="2"/>
        </w:numPr>
        <w:spacing w:after="40" w:before="40" w:line="300"/>
      </w:pPr>
      <w:r>
        <w:rPr>
          <w:b/>
          <w:bCs/>
          <w:sz w:val="22"/>
          <w:szCs w:val="22"/>
        </w:rPr>
        <w:t xml:space="preserve">mockGoogleCalendar.js — </w:t>
      </w:r>
      <w:r>
        <w:rPr>
          <w:sz w:val="22"/>
          <w:szCs w:val="22"/>
        </w:rPr>
        <w:t xml:space="preserve">Google Calendar v3 API mock layer for local development</w:t>
      </w:r>
    </w:p>
    <w:p>
      <w:pPr>
        <w:pStyle w:val="Heading2"/>
        <w:spacing w:after="140" w:before="280"/>
      </w:pPr>
      <w:r>
        <w:t xml:space="preserve">3.3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D1D5DB" w:sz="4"/>
              <w:left w:val="single" w:color="D1D5DB" w:sz="4"/>
              <w:bottom w:val="single" w:color="D1D5DB" w:sz="4"/>
              <w:right w:val="single" w:color="D1D5DB" w:sz="4"/>
            </w:tcBorders>
            <w:shd w:fill="0A0D10" w:val="clear"/>
            <w:tcMar>
              <w:top w:type="dxa" w:w="100"/>
              <w:left w:type="dxa" w:w="140"/>
              <w:bottom w:type="dxa" w:w="100"/>
              <w:right w:type="dxa" w:w="140"/>
            </w:tcMar>
            <w:vAlign w:val="center"/>
          </w:tcPr>
          <w:p>
            <w:pPr>
              <w:jc w:val="left"/>
            </w:pPr>
            <w:r>
              <w:rPr>
                <w:b/>
                <w:bCs/>
                <w:color w:val="FFFFFF"/>
                <w:sz w:val="20"/>
                <w:szCs w:val="20"/>
              </w:rPr>
              <w:t xml:space="preserve">Decision</w:t>
            </w:r>
          </w:p>
        </w:tc>
        <w:tc>
          <w:tcPr>
            <w:tcW w:type="dxa" w:w="6260"/>
            <w:tcBorders>
              <w:top w:val="single" w:color="D1D5DB" w:sz="4"/>
              <w:left w:val="single" w:color="D1D5DB" w:sz="4"/>
              <w:bottom w:val="single" w:color="D1D5DB" w:sz="4"/>
              <w:right w:val="single" w:color="D1D5DB" w:sz="4"/>
            </w:tcBorders>
            <w:shd w:fill="0A0D10" w:val="clear"/>
            <w:tcMar>
              <w:top w:type="dxa" w:w="100"/>
              <w:left w:type="dxa" w:w="140"/>
              <w:bottom w:type="dxa" w:w="100"/>
              <w:right w:type="dxa" w:w="140"/>
            </w:tcMar>
            <w:vAlign w:val="center"/>
          </w:tcPr>
          <w:p>
            <w:pPr>
              <w:jc w:val="left"/>
            </w:pPr>
            <w:r>
              <w:rPr>
                <w:b/>
                <w:bCs/>
                <w:color w:val="FFFFFF"/>
                <w:sz w:val="20"/>
                <w:szCs w:val="20"/>
              </w:rPr>
              <w:t xml:space="preserve">Reasoning</w:t>
            </w:r>
          </w:p>
        </w:tc>
      </w:tr>
      <w:tr>
        <w:tc>
          <w:tcPr>
            <w:tcW w:type="dxa" w:w="31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jc w:val="left"/>
            </w:pPr>
            <w:r>
              <w:rPr>
                <w:b/>
                <w:bCs/>
                <w:sz w:val="20"/>
                <w:szCs w:val="20"/>
              </w:rPr>
              <w:t xml:space="preserve">No database (yet)</w:t>
            </w:r>
          </w:p>
        </w:tc>
        <w:tc>
          <w:tcPr>
            <w:tcW w:type="dxa" w:w="62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Historical forecast data is static. Appointments will live in Salesforce once integrated. Adding a database now would create a second source of truth.</w:t>
            </w:r>
          </w:p>
        </w:tc>
      </w:tr>
      <w:tr>
        <w:tc>
          <w:tcPr>
            <w:tcW w:type="dxa" w:w="31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jc w:val="left"/>
            </w:pPr>
            <w:r>
              <w:rPr>
                <w:b/>
                <w:bCs/>
                <w:sz w:val="20"/>
                <w:szCs w:val="20"/>
              </w:rPr>
              <w:t xml:space="preserve">Mock/live toggle via env var</w:t>
            </w:r>
          </w:p>
        </w:tc>
        <w:tc>
          <w:tcPr>
            <w:tcW w:type="dxa" w:w="62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USE_MOCK=true gives a fully working app without credentials. Flip to false to activate real integrations incrementally.</w:t>
            </w:r>
          </w:p>
        </w:tc>
      </w:tr>
      <w:tr>
        <w:tc>
          <w:tcPr>
            <w:tcW w:type="dxa" w:w="31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jc w:val="left"/>
            </w:pPr>
            <w:r>
              <w:rPr>
                <w:b/>
                <w:bCs/>
                <w:sz w:val="20"/>
                <w:szCs w:val="20"/>
              </w:rPr>
              <w:t xml:space="preserve">Single container, same origin</w:t>
            </w:r>
          </w:p>
        </w:tc>
        <w:tc>
          <w:tcPr>
            <w:tcW w:type="dxa" w:w="62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Express serves both frontend and API. No CORS complexity, one deployment unit, lower cost.</w:t>
            </w:r>
          </w:p>
        </w:tc>
      </w:tr>
      <w:tr>
        <w:tc>
          <w:tcPr>
            <w:tcW w:type="dxa" w:w="31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jc w:val="left"/>
            </w:pPr>
            <w:r>
              <w:rPr>
                <w:b/>
                <w:bCs/>
                <w:sz w:val="20"/>
                <w:szCs w:val="20"/>
              </w:rPr>
              <w:t xml:space="preserve">No ML library</w:t>
            </w:r>
          </w:p>
        </w:tc>
        <w:tc>
          <w:tcPr>
            <w:tcW w:type="dxa" w:w="62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Weighted historical averages with seasonality and trend adjustments fit the data well. TensorFlow or a Python ML service would be overkill for this use case.</w:t>
            </w:r>
          </w:p>
        </w:tc>
      </w:tr>
      <w:tr>
        <w:tc>
          <w:tcPr>
            <w:tcW w:type="dxa" w:w="31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jc w:val="left"/>
            </w:pPr>
            <w:r>
              <w:rPr>
                <w:b/>
                <w:bCs/>
                <w:sz w:val="20"/>
                <w:szCs w:val="20"/>
              </w:rPr>
              <w:t xml:space="preserve">Scale-to-zero Cloud Run</w:t>
            </w:r>
          </w:p>
        </w:tc>
        <w:tc>
          <w:tcPr>
            <w:tcW w:type="dxa" w:w="62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Pay only for usage. When nobody's on the app, it costs nothing. Cold starts are ~1 second, acceptable for an internal tool.</w:t>
            </w:r>
          </w:p>
        </w:tc>
      </w:tr>
    </w:tbl>
    <w:p>
      <w:r>
        <w:br w:type="page"/>
      </w:r>
    </w:p>
    <w:p>
      <w:pPr>
        <w:pStyle w:val="Heading1"/>
        <w:spacing w:after="180" w:before="360"/>
      </w:pPr>
      <w:r>
        <w:t xml:space="preserve">4. Features &amp; Workflows</w:t>
      </w:r>
    </w:p>
    <w:p>
      <w:pPr>
        <w:pStyle w:val="Heading2"/>
        <w:spacing w:after="140" w:before="280"/>
      </w:pPr>
      <w:r>
        <w:t xml:space="preserve">4.1 Dashboard (internal team)</w:t>
      </w:r>
    </w:p>
    <w:p>
      <w:pPr>
        <w:pStyle w:val="Heading3"/>
        <w:spacing w:after="100" w:before="220"/>
      </w:pPr>
      <w:r>
        <w:t xml:space="preserve">Day view</w:t>
      </w:r>
    </w:p>
    <w:p>
      <w:pPr>
        <w:spacing w:after="80" w:before="80" w:line="300"/>
      </w:pPr>
      <w:r>
        <w:rPr>
          <w:sz w:val="22"/>
          <w:szCs w:val="22"/>
        </w:rPr>
        <w:t xml:space="preserve">The default view shows all appointments for the selected date as a vertical time-slot list. Each time slot displays a free/busy indicator (e.g., '3/7 free') computed from the calendar availability engine. When every rep is booked, the slot shows 'All reps busy' in red to prevent overbooking.</w:t>
      </w:r>
    </w:p>
    <w:p>
      <w:pPr>
        <w:pStyle w:val="Heading3"/>
        <w:spacing w:after="100" w:before="220"/>
      </w:pPr>
      <w:r>
        <w:t xml:space="preserve">Week view</w:t>
      </w:r>
    </w:p>
    <w:p>
      <w:pPr>
        <w:spacing w:after="80" w:before="80" w:line="300"/>
      </w:pPr>
      <w:r>
        <w:rPr>
          <w:sz w:val="22"/>
          <w:szCs w:val="22"/>
        </w:rPr>
        <w:t xml:space="preserve">A Monday-to-Sunday grid showing appointment density across all territories. Each cell is color-coded: green for open slots, amber for limited availability (≤2 reps free), red for full. Clicking any cell drills into the day view for that date.</w:t>
      </w:r>
    </w:p>
    <w:p>
      <w:pPr>
        <w:pStyle w:val="Heading3"/>
        <w:spacing w:after="100" w:before="220"/>
      </w:pPr>
      <w:r>
        <w:t xml:space="preserve">Territory filter</w:t>
      </w:r>
    </w:p>
    <w:p>
      <w:pPr>
        <w:spacing w:after="80" w:before="80" w:line="300"/>
      </w:pPr>
      <w:r>
        <w:rPr>
          <w:sz w:val="22"/>
          <w:szCs w:val="22"/>
        </w:rPr>
        <w:t xml:space="preserve">Seven territory chips at the top of the calendar (NYE, NYW, CT, MARI, MENH, NJPA, MD) toggle which regions are visible. Each territory is color-coded and the filter state drives the demand forecasts in the sidebar.</w:t>
      </w:r>
    </w:p>
    <w:p>
      <w:pPr>
        <w:pStyle w:val="Heading2"/>
        <w:spacing w:after="140" w:before="280"/>
      </w:pPr>
      <w:r>
        <w:t xml:space="preserve">4.2 Smart scheduling</w:t>
      </w:r>
    </w:p>
    <w:p>
      <w:pPr>
        <w:spacing w:after="80" w:before="80" w:line="300"/>
      </w:pPr>
      <w:r>
        <w:rPr>
          <w:sz w:val="22"/>
          <w:szCs w:val="22"/>
        </w:rPr>
        <w:t xml:space="preserve">Clicking 'Smart Schedule' opens the new appointment modal. It supports three assignment modes:</w:t>
      </w:r>
    </w:p>
    <w:p>
      <w:pPr>
        <w:pStyle w:val="ListParagraph"/>
        <w:numPr>
          <w:ilvl w:val="0"/>
          <w:numId w:val="2"/>
        </w:numPr>
        <w:spacing w:after="40" w:before="40" w:line="300"/>
      </w:pPr>
      <w:r>
        <w:rPr>
          <w:b/>
          <w:bCs/>
          <w:sz w:val="22"/>
          <w:szCs w:val="22"/>
        </w:rPr>
        <w:t xml:space="preserve">Manual — </w:t>
      </w:r>
      <w:r>
        <w:rPr>
          <w:sz w:val="22"/>
          <w:szCs w:val="22"/>
        </w:rPr>
        <w:t xml:space="preserve">pick a specific rep from a filtered list</w:t>
      </w:r>
    </w:p>
    <w:p>
      <w:pPr>
        <w:pStyle w:val="ListParagraph"/>
        <w:numPr>
          <w:ilvl w:val="0"/>
          <w:numId w:val="2"/>
        </w:numPr>
        <w:spacing w:after="40" w:before="40" w:line="300"/>
      </w:pPr>
      <w:r>
        <w:rPr>
          <w:b/>
          <w:bCs/>
          <w:sz w:val="22"/>
          <w:szCs w:val="22"/>
        </w:rPr>
        <w:t xml:space="preserve">Auto (territory) — </w:t>
      </w:r>
      <w:r>
        <w:rPr>
          <w:sz w:val="22"/>
          <w:szCs w:val="22"/>
        </w:rPr>
        <w:t xml:space="preserve">system assigns the next available rep in the territory</w:t>
      </w:r>
    </w:p>
    <w:p>
      <w:pPr>
        <w:pStyle w:val="ListParagraph"/>
        <w:numPr>
          <w:ilvl w:val="0"/>
          <w:numId w:val="2"/>
        </w:numPr>
        <w:spacing w:after="40" w:before="40" w:line="300"/>
      </w:pPr>
      <w:r>
        <w:rPr>
          <w:b/>
          <w:bCs/>
          <w:sz w:val="22"/>
          <w:szCs w:val="22"/>
        </w:rPr>
        <w:t xml:space="preserve">Auto (smart) — </w:t>
      </w:r>
      <w:r>
        <w:rPr>
          <w:sz w:val="22"/>
          <w:szCs w:val="22"/>
        </w:rPr>
        <w:t xml:space="preserve">future: model-driven assignment based on rep close rate × lead source × territory fit</w:t>
      </w:r>
    </w:p>
    <w:p>
      <w:pPr>
        <w:spacing w:after="80" w:before="80" w:line="300"/>
      </w:pPr>
      <w:r>
        <w:rPr>
          <w:sz w:val="22"/>
          <w:szCs w:val="22"/>
        </w:rPr>
        <w:t xml:space="preserve">The modal enforces scheduling constraints per rep (e.g., 'no 7 PM slots in Newark', 'no Friday 2 PM due to Shabbat', 'in-person only after 5 PM'). Zip code → territory mapping is built in for automatic territory detection.</w:t>
      </w:r>
    </w:p>
    <w:p>
      <w:pPr>
        <w:pStyle w:val="Heading2"/>
        <w:spacing w:after="140" w:before="280"/>
      </w:pPr>
      <w:r>
        <w:t xml:space="preserve">4.3 Predictive forecast panel</w:t>
      </w:r>
    </w:p>
    <w:p>
      <w:pPr>
        <w:spacing w:after="80" w:before="80" w:line="300"/>
      </w:pPr>
      <w:r>
        <w:rPr>
          <w:sz w:val="22"/>
          <w:szCs w:val="22"/>
        </w:rPr>
        <w:t xml:space="preserve">The sidebar 'Forecast' tab surfaces three views backed by the historical Salesforce data:</w:t>
      </w:r>
    </w:p>
    <w:p>
      <w:pPr>
        <w:pStyle w:val="Heading3"/>
        <w:spacing w:after="100" w:before="220"/>
      </w:pPr>
      <w:r>
        <w:t xml:space="preserve">Demand forecast</w:t>
      </w:r>
    </w:p>
    <w:p>
      <w:pPr>
        <w:spacing w:after="80" w:before="80" w:line="300"/>
      </w:pPr>
      <w:r>
        <w:rPr>
          <w:sz w:val="22"/>
          <w:szCs w:val="22"/>
        </w:rPr>
        <w:t xml:space="preserve">Shows expected appointment volume for the selected day by territory, with low/high confidence intervals. Includes a 7-day sparkline and seasonal context (e.g., 'Peak season — this month runs 23% above annual average').</w:t>
      </w:r>
    </w:p>
    <w:p>
      <w:pPr>
        <w:pStyle w:val="Heading3"/>
        <w:spacing w:after="100" w:before="220"/>
      </w:pPr>
      <w:r>
        <w:t xml:space="preserve">Sit rate</w:t>
      </w:r>
    </w:p>
    <w:p>
      <w:pPr>
        <w:spacing w:after="80" w:before="80" w:line="300"/>
      </w:pPr>
      <w:r>
        <w:rPr>
          <w:sz w:val="22"/>
          <w:szCs w:val="22"/>
        </w:rPr>
        <w:t xml:space="preserve">Displays current sit rate (30.8%) with 6-month trend, a per-category breakdown (Get the Referral 46.9%, Inbound 35.8%, Paid 30.3%, etc.), and a monthly trend sparkline.</w:t>
      </w:r>
    </w:p>
    <w:p>
      <w:pPr>
        <w:pStyle w:val="Heading3"/>
        <w:spacing w:after="100" w:before="220"/>
      </w:pPr>
      <w:r>
        <w:t xml:space="preserve">Staffing</w:t>
      </w:r>
    </w:p>
    <w:p>
      <w:pPr>
        <w:spacing w:after="80" w:before="80" w:line="300"/>
      </w:pPr>
      <w:r>
        <w:rPr>
          <w:sz w:val="22"/>
          <w:szCs w:val="22"/>
        </w:rPr>
        <w:t xml:space="preserve">Calculates how many reps are needed per territory given the forecasted demand and weighted sit rate. Also shows a per-time-slot demand score (11:30 AM is the busiest at ~24% of daily volume, 7 PM the lightest at ~12%).</w:t>
      </w:r>
    </w:p>
    <w:p>
      <w:pPr>
        <w:pStyle w:val="Heading2"/>
        <w:spacing w:after="140" w:before="280"/>
      </w:pPr>
      <w:r>
        <w:t xml:space="preserve">4.4 Partner self-service booking</w:t>
      </w:r>
    </w:p>
    <w:p>
      <w:pPr>
        <w:spacing w:after="80" w:before="80" w:line="300"/>
      </w:pPr>
      <w:r>
        <w:rPr>
          <w:sz w:val="22"/>
          <w:szCs w:val="22"/>
        </w:rPr>
        <w:t xml:space="preserve">Each integration partner gets a dedicated public booking URL at /#/book/:partner-slug. Current partners: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1D5DB" w:sz="4"/>
              <w:left w:val="single" w:color="D1D5DB" w:sz="4"/>
              <w:bottom w:val="single" w:color="D1D5DB" w:sz="4"/>
              <w:right w:val="single" w:color="D1D5DB" w:sz="4"/>
            </w:tcBorders>
            <w:shd w:fill="0A0D10" w:val="clear"/>
            <w:tcMar>
              <w:top w:type="dxa" w:w="100"/>
              <w:left w:type="dxa" w:w="140"/>
              <w:bottom w:type="dxa" w:w="100"/>
              <w:right w:type="dxa" w:w="140"/>
            </w:tcMar>
            <w:vAlign w:val="center"/>
          </w:tcPr>
          <w:p>
            <w:pPr>
              <w:jc w:val="left"/>
            </w:pPr>
            <w:r>
              <w:rPr>
                <w:b/>
                <w:bCs/>
                <w:color w:val="FFFFFF"/>
                <w:sz w:val="20"/>
                <w:szCs w:val="20"/>
              </w:rPr>
              <w:t xml:space="preserve">Partner</w:t>
            </w:r>
          </w:p>
        </w:tc>
        <w:tc>
          <w:tcPr>
            <w:tcW w:type="dxa" w:w="3000"/>
            <w:tcBorders>
              <w:top w:val="single" w:color="D1D5DB" w:sz="4"/>
              <w:left w:val="single" w:color="D1D5DB" w:sz="4"/>
              <w:bottom w:val="single" w:color="D1D5DB" w:sz="4"/>
              <w:right w:val="single" w:color="D1D5DB" w:sz="4"/>
            </w:tcBorders>
            <w:shd w:fill="0A0D10" w:val="clear"/>
            <w:tcMar>
              <w:top w:type="dxa" w:w="100"/>
              <w:left w:type="dxa" w:w="140"/>
              <w:bottom w:type="dxa" w:w="100"/>
              <w:right w:type="dxa" w:w="140"/>
            </w:tcMar>
            <w:vAlign w:val="center"/>
          </w:tcPr>
          <w:p>
            <w:pPr>
              <w:jc w:val="left"/>
            </w:pPr>
            <w:r>
              <w:rPr>
                <w:b/>
                <w:bCs/>
                <w:color w:val="FFFFFF"/>
                <w:sz w:val="20"/>
                <w:szCs w:val="20"/>
              </w:rPr>
              <w:t xml:space="preserve">Slug</w:t>
            </w:r>
          </w:p>
        </w:tc>
        <w:tc>
          <w:tcPr>
            <w:tcW w:type="dxa" w:w="3960"/>
            <w:tcBorders>
              <w:top w:val="single" w:color="D1D5DB" w:sz="4"/>
              <w:left w:val="single" w:color="D1D5DB" w:sz="4"/>
              <w:bottom w:val="single" w:color="D1D5DB" w:sz="4"/>
              <w:right w:val="single" w:color="D1D5DB" w:sz="4"/>
            </w:tcBorders>
            <w:shd w:fill="0A0D10" w:val="clear"/>
            <w:tcMar>
              <w:top w:type="dxa" w:w="100"/>
              <w:left w:type="dxa" w:w="140"/>
              <w:bottom w:type="dxa" w:w="100"/>
              <w:right w:type="dxa" w:w="140"/>
            </w:tcMar>
            <w:vAlign w:val="center"/>
          </w:tcPr>
          <w:p>
            <w:pPr>
              <w:jc w:val="left"/>
            </w:pPr>
            <w:r>
              <w:rPr>
                <w:b/>
                <w:bCs/>
                <w:color w:val="FFFFFF"/>
                <w:sz w:val="20"/>
                <w:szCs w:val="20"/>
              </w:rPr>
              <w:t xml:space="preserve">Territories</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GreenWatt</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Courier New" w:cs="Courier New" w:eastAsia="Courier New" w:hAnsi="Courier New"/>
                <w:b w:val="false"/>
                <w:bCs w:val="false"/>
                <w:sz w:val="20"/>
                <w:szCs w:val="20"/>
              </w:rPr>
              <w:t xml:space="preserve">/#/book/greenwatt</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All 7</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Verse AI</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Courier New" w:cs="Courier New" w:eastAsia="Courier New" w:hAnsi="Courier New"/>
                <w:b w:val="false"/>
                <w:bCs w:val="false"/>
                <w:sz w:val="20"/>
                <w:szCs w:val="20"/>
              </w:rPr>
              <w:t xml:space="preserve">/#/book/verse</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NYE, NYW, CT, NJPA</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SunLink</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Courier New" w:cs="Courier New" w:eastAsia="Courier New" w:hAnsi="Courier New"/>
                <w:b w:val="false"/>
                <w:bCs w:val="false"/>
                <w:sz w:val="20"/>
                <w:szCs w:val="20"/>
              </w:rPr>
              <w:t xml:space="preserve">/#/book/sunlink</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MARI, MENH</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Lo Mano</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Courier New" w:cs="Courier New" w:eastAsia="Courier New" w:hAnsi="Courier New"/>
                <w:b w:val="false"/>
                <w:bCs w:val="false"/>
                <w:sz w:val="20"/>
                <w:szCs w:val="20"/>
              </w:rPr>
              <w:t xml:space="preserve">/#/book/lomano</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NYE, NYW, NJPA</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Remix Dynamics</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Courier New" w:cs="Courier New" w:eastAsia="Courier New" w:hAnsi="Courier New"/>
                <w:b w:val="false"/>
                <w:bCs w:val="false"/>
                <w:sz w:val="20"/>
                <w:szCs w:val="20"/>
              </w:rPr>
              <w:t xml:space="preserve">/#/book/remix</w:t>
            </w:r>
          </w:p>
        </w:tc>
        <w:tc>
          <w:tcPr>
            <w:tcW w:type="dxa" w:w="39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All 7</w:t>
            </w:r>
          </w:p>
        </w:tc>
      </w:tr>
    </w:tbl>
    <w:p>
      <w:pPr>
        <w:spacing w:after="80" w:before="80" w:line="300"/>
      </w:pPr>
      <w:r>
        <w:rPr>
          <w:sz w:val="22"/>
          <w:szCs w:val="22"/>
        </w:rPr>
        <w:t xml:space="preserve">The partner booking page reads live availability across all reps in the partner's authorized territories, shows open time slots, and submits appointments directly into the scheduler (and, once wired, into Salesforce).</w:t>
      </w:r>
    </w:p>
    <w:p>
      <w:r>
        <w:br w:type="page"/>
      </w:r>
    </w:p>
    <w:p>
      <w:pPr>
        <w:pStyle w:val="Heading1"/>
        <w:spacing w:after="180" w:before="360"/>
      </w:pPr>
      <w:r>
        <w:t xml:space="preserve">5. Data Model</w:t>
      </w:r>
    </w:p>
    <w:p>
      <w:pPr>
        <w:pStyle w:val="Heading2"/>
        <w:spacing w:after="140" w:before="280"/>
      </w:pPr>
      <w:r>
        <w:t xml:space="preserve">5.1 Territories</w:t>
      </w:r>
    </w:p>
    <w:p>
      <w:pPr>
        <w:spacing w:after="80" w:before="80" w:line="300"/>
      </w:pPr>
      <w:r>
        <w:rPr>
          <w:sz w:val="22"/>
          <w:szCs w:val="22"/>
        </w:rPr>
        <w:t xml:space="preserve">Seven territories cover nine states. NY is split into East and West based on zip code prefix.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D1D5DB" w:sz="4"/>
              <w:left w:val="single" w:color="D1D5DB" w:sz="4"/>
              <w:bottom w:val="single" w:color="D1D5DB" w:sz="4"/>
              <w:right w:val="single" w:color="D1D5DB" w:sz="4"/>
            </w:tcBorders>
            <w:shd w:fill="0A0D10" w:val="clear"/>
            <w:tcMar>
              <w:top w:type="dxa" w:w="100"/>
              <w:left w:type="dxa" w:w="140"/>
              <w:bottom w:type="dxa" w:w="100"/>
              <w:right w:type="dxa" w:w="140"/>
            </w:tcMar>
            <w:vAlign w:val="center"/>
          </w:tcPr>
          <w:p>
            <w:pPr>
              <w:jc w:val="left"/>
            </w:pPr>
            <w:r>
              <w:rPr>
                <w:b/>
                <w:bCs/>
                <w:color w:val="FFFFFF"/>
                <w:sz w:val="20"/>
                <w:szCs w:val="20"/>
              </w:rPr>
              <w:t xml:space="preserve">Code</w:t>
            </w:r>
          </w:p>
        </w:tc>
        <w:tc>
          <w:tcPr>
            <w:tcW w:type="dxa" w:w="2200"/>
            <w:tcBorders>
              <w:top w:val="single" w:color="D1D5DB" w:sz="4"/>
              <w:left w:val="single" w:color="D1D5DB" w:sz="4"/>
              <w:bottom w:val="single" w:color="D1D5DB" w:sz="4"/>
              <w:right w:val="single" w:color="D1D5DB" w:sz="4"/>
            </w:tcBorders>
            <w:shd w:fill="0A0D10" w:val="clear"/>
            <w:tcMar>
              <w:top w:type="dxa" w:w="100"/>
              <w:left w:type="dxa" w:w="140"/>
              <w:bottom w:type="dxa" w:w="100"/>
              <w:right w:type="dxa" w:w="140"/>
            </w:tcMar>
            <w:vAlign w:val="center"/>
          </w:tcPr>
          <w:p>
            <w:pPr>
              <w:jc w:val="left"/>
            </w:pPr>
            <w:r>
              <w:rPr>
                <w:b/>
                <w:bCs/>
                <w:color w:val="FFFFFF"/>
                <w:sz w:val="20"/>
                <w:szCs w:val="20"/>
              </w:rPr>
              <w:t xml:space="preserve">Name</w:t>
            </w:r>
          </w:p>
        </w:tc>
        <w:tc>
          <w:tcPr>
            <w:tcW w:type="dxa" w:w="5760"/>
            <w:tcBorders>
              <w:top w:val="single" w:color="D1D5DB" w:sz="4"/>
              <w:left w:val="single" w:color="D1D5DB" w:sz="4"/>
              <w:bottom w:val="single" w:color="D1D5DB" w:sz="4"/>
              <w:right w:val="single" w:color="D1D5DB" w:sz="4"/>
            </w:tcBorders>
            <w:shd w:fill="0A0D10" w:val="clear"/>
            <w:tcMar>
              <w:top w:type="dxa" w:w="100"/>
              <w:left w:type="dxa" w:w="140"/>
              <w:bottom w:type="dxa" w:w="100"/>
              <w:right w:type="dxa" w:w="140"/>
            </w:tcMar>
            <w:vAlign w:val="center"/>
          </w:tcPr>
          <w:p>
            <w:pPr>
              <w:jc w:val="left"/>
            </w:pPr>
            <w:r>
              <w:rPr>
                <w:b/>
                <w:bCs/>
                <w:color w:val="FFFFFF"/>
                <w:sz w:val="20"/>
                <w:szCs w:val="20"/>
              </w:rPr>
              <w:t xml:space="preserve">Coverage</w:t>
            </w:r>
          </w:p>
        </w:tc>
      </w:tr>
      <w:tr>
        <w:tc>
          <w:tcPr>
            <w:tcW w:type="dxa" w:w="1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bCs/>
                <w:sz w:val="20"/>
                <w:szCs w:val="20"/>
              </w:rPr>
              <w:t xml:space="preserve">NYE</w:t>
            </w:r>
          </w:p>
        </w:tc>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NY East</w:t>
            </w:r>
          </w:p>
        </w:tc>
        <w:tc>
          <w:tcPr>
            <w:tcW w:type="dxa" w:w="57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Queens, Nassau, Suffolk (zips 111, 113–119)</w:t>
            </w:r>
          </w:p>
        </w:tc>
      </w:tr>
      <w:tr>
        <w:tc>
          <w:tcPr>
            <w:tcW w:type="dxa" w:w="1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bCs/>
                <w:sz w:val="20"/>
                <w:szCs w:val="20"/>
              </w:rPr>
              <w:t xml:space="preserve">NYW</w:t>
            </w:r>
          </w:p>
        </w:tc>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NY West</w:t>
            </w:r>
          </w:p>
        </w:tc>
        <w:tc>
          <w:tcPr>
            <w:tcW w:type="dxa" w:w="57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Manhattan, Brooklyn, Bronx, Staten Is., Westchester, Rockland, Hudson Valley, Upstate</w:t>
            </w:r>
          </w:p>
        </w:tc>
      </w:tr>
      <w:tr>
        <w:tc>
          <w:tcPr>
            <w:tcW w:type="dxa" w:w="1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bCs/>
                <w:sz w:val="20"/>
                <w:szCs w:val="20"/>
              </w:rPr>
              <w:t xml:space="preserve">CT</w:t>
            </w:r>
          </w:p>
        </w:tc>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Connecticut</w:t>
            </w:r>
          </w:p>
        </w:tc>
        <w:tc>
          <w:tcPr>
            <w:tcW w:type="dxa" w:w="57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All of Connecticut</w:t>
            </w:r>
          </w:p>
        </w:tc>
      </w:tr>
      <w:tr>
        <w:tc>
          <w:tcPr>
            <w:tcW w:type="dxa" w:w="1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bCs/>
                <w:sz w:val="20"/>
                <w:szCs w:val="20"/>
              </w:rPr>
              <w:t xml:space="preserve">MARI</w:t>
            </w:r>
          </w:p>
        </w:tc>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Mass. + RI</w:t>
            </w:r>
          </w:p>
        </w:tc>
        <w:tc>
          <w:tcPr>
            <w:tcW w:type="dxa" w:w="57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Massachusetts and Rhode Island</w:t>
            </w:r>
          </w:p>
        </w:tc>
      </w:tr>
      <w:tr>
        <w:tc>
          <w:tcPr>
            <w:tcW w:type="dxa" w:w="1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bCs/>
                <w:sz w:val="20"/>
                <w:szCs w:val="20"/>
              </w:rPr>
              <w:t xml:space="preserve">MENH</w:t>
            </w:r>
          </w:p>
        </w:tc>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Maine + NH</w:t>
            </w:r>
          </w:p>
        </w:tc>
        <w:tc>
          <w:tcPr>
            <w:tcW w:type="dxa" w:w="57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Maine and New Hampshire</w:t>
            </w:r>
          </w:p>
        </w:tc>
      </w:tr>
      <w:tr>
        <w:tc>
          <w:tcPr>
            <w:tcW w:type="dxa" w:w="1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bCs/>
                <w:sz w:val="20"/>
                <w:szCs w:val="20"/>
              </w:rPr>
              <w:t xml:space="preserve">NJPA</w:t>
            </w:r>
          </w:p>
        </w:tc>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NJ + PA</w:t>
            </w:r>
          </w:p>
        </w:tc>
        <w:tc>
          <w:tcPr>
            <w:tcW w:type="dxa" w:w="57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New Jersey, Pennsylvania, Delaware</w:t>
            </w:r>
          </w:p>
        </w:tc>
      </w:tr>
      <w:tr>
        <w:tc>
          <w:tcPr>
            <w:tcW w:type="dxa" w:w="1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bCs/>
                <w:sz w:val="20"/>
                <w:szCs w:val="20"/>
              </w:rPr>
              <w:t xml:space="preserve">MD</w:t>
            </w:r>
          </w:p>
        </w:tc>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Maryland</w:t>
            </w:r>
          </w:p>
        </w:tc>
        <w:tc>
          <w:tcPr>
            <w:tcW w:type="dxa" w:w="57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Maryland and DC</w:t>
            </w:r>
          </w:p>
        </w:tc>
      </w:tr>
    </w:tbl>
    <w:p>
      <w:pPr>
        <w:pStyle w:val="Heading2"/>
        <w:spacing w:after="140" w:before="280"/>
      </w:pPr>
      <w:r>
        <w:t xml:space="preserve">5.2 Rep roster</w:t>
      </w:r>
    </w:p>
    <w:p>
      <w:pPr>
        <w:spacing w:after="80" w:before="80" w:line="300"/>
      </w:pPr>
      <w:r>
        <w:rPr>
          <w:sz w:val="22"/>
          <w:szCs w:val="22"/>
        </w:rPr>
        <w:t xml:space="preserve">The system tracks 51 active field reps across four role types. Each rep has a territory assignment, hybrid/remote status, languages, and a flexible constraints object for scheduling rules (blocked time slots by city/day, max drive distance by time, in-person-only conditions).</w:t>
      </w:r>
    </w:p>
    <w:p>
      <w:pPr>
        <w:pStyle w:val="ListParagraph"/>
        <w:numPr>
          <w:ilvl w:val="0"/>
          <w:numId w:val="2"/>
        </w:numPr>
        <w:spacing w:after="40" w:before="40" w:line="300"/>
      </w:pPr>
      <w:r>
        <w:rPr>
          <w:b/>
          <w:bCs/>
          <w:sz w:val="22"/>
          <w:szCs w:val="22"/>
        </w:rPr>
        <w:t xml:space="preserve">Solar Consultant — </w:t>
      </w:r>
      <w:r>
        <w:rPr>
          <w:sz w:val="22"/>
          <w:szCs w:val="22"/>
        </w:rPr>
        <w:t xml:space="preserve">primary field closer</w:t>
      </w:r>
    </w:p>
    <w:p>
      <w:pPr>
        <w:pStyle w:val="ListParagraph"/>
        <w:numPr>
          <w:ilvl w:val="0"/>
          <w:numId w:val="2"/>
        </w:numPr>
        <w:spacing w:after="40" w:before="40" w:line="300"/>
      </w:pPr>
      <w:r>
        <w:rPr>
          <w:b/>
          <w:bCs/>
          <w:sz w:val="22"/>
          <w:szCs w:val="22"/>
        </w:rPr>
        <w:t xml:space="preserve">Sr. Solar Consultant — </w:t>
      </w:r>
      <w:r>
        <w:rPr>
          <w:sz w:val="22"/>
          <w:szCs w:val="22"/>
        </w:rPr>
        <w:t xml:space="preserve">senior closer with mentoring duties</w:t>
      </w:r>
    </w:p>
    <w:p>
      <w:pPr>
        <w:pStyle w:val="ListParagraph"/>
        <w:numPr>
          <w:ilvl w:val="0"/>
          <w:numId w:val="2"/>
        </w:numPr>
        <w:spacing w:after="40" w:before="40" w:line="300"/>
      </w:pPr>
      <w:r>
        <w:rPr>
          <w:b/>
          <w:bCs/>
          <w:sz w:val="22"/>
          <w:szCs w:val="22"/>
        </w:rPr>
        <w:t xml:space="preserve">Design Expert — </w:t>
      </w:r>
      <w:r>
        <w:rPr>
          <w:sz w:val="22"/>
          <w:szCs w:val="22"/>
        </w:rPr>
        <w:t xml:space="preserve">technical specialist, often hybrid</w:t>
      </w:r>
    </w:p>
    <w:p>
      <w:pPr>
        <w:pStyle w:val="ListParagraph"/>
        <w:numPr>
          <w:ilvl w:val="0"/>
          <w:numId w:val="2"/>
        </w:numPr>
        <w:spacing w:after="40" w:before="40" w:line="300"/>
      </w:pPr>
      <w:r>
        <w:rPr>
          <w:b/>
          <w:bCs/>
          <w:sz w:val="22"/>
          <w:szCs w:val="22"/>
        </w:rPr>
        <w:t xml:space="preserve">Regional Sales Manager — </w:t>
      </w:r>
      <w:r>
        <w:rPr>
          <w:sz w:val="22"/>
          <w:szCs w:val="22"/>
        </w:rPr>
        <w:t xml:space="preserve">territory lead, handles escalations</w:t>
      </w:r>
    </w:p>
    <w:p>
      <w:pPr>
        <w:pStyle w:val="Heading2"/>
        <w:spacing w:after="140" w:before="280"/>
      </w:pPr>
      <w:r>
        <w:t xml:space="preserve">5.3 Time slots</w:t>
      </w:r>
    </w:p>
    <w:p>
      <w:pPr>
        <w:spacing w:after="80" w:before="80" w:line="300"/>
      </w:pPr>
      <w:r>
        <w:rPr>
          <w:sz w:val="22"/>
          <w:szCs w:val="22"/>
        </w:rPr>
        <w:t xml:space="preserve">Five daily time slots, sized around typical consultant availability and customer 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D1D5DB" w:sz="4"/>
              <w:left w:val="single" w:color="D1D5DB" w:sz="4"/>
              <w:bottom w:val="single" w:color="D1D5DB" w:sz="4"/>
              <w:right w:val="single" w:color="D1D5DB" w:sz="4"/>
            </w:tcBorders>
            <w:shd w:fill="0A0D10" w:val="clear"/>
            <w:tcMar>
              <w:top w:type="dxa" w:w="100"/>
              <w:left w:type="dxa" w:w="140"/>
              <w:bottom w:type="dxa" w:w="100"/>
              <w:right w:type="dxa" w:w="140"/>
            </w:tcMar>
            <w:vAlign w:val="center"/>
          </w:tcPr>
          <w:p>
            <w:pPr>
              <w:jc w:val="left"/>
            </w:pPr>
            <w:r>
              <w:rPr>
                <w:b/>
                <w:bCs/>
                <w:color w:val="FFFFFF"/>
                <w:sz w:val="20"/>
                <w:szCs w:val="20"/>
              </w:rPr>
              <w:t xml:space="preserve">Slot</w:t>
            </w:r>
          </w:p>
        </w:tc>
        <w:tc>
          <w:tcPr>
            <w:tcW w:type="dxa" w:w="2000"/>
            <w:tcBorders>
              <w:top w:val="single" w:color="D1D5DB" w:sz="4"/>
              <w:left w:val="single" w:color="D1D5DB" w:sz="4"/>
              <w:bottom w:val="single" w:color="D1D5DB" w:sz="4"/>
              <w:right w:val="single" w:color="D1D5DB" w:sz="4"/>
            </w:tcBorders>
            <w:shd w:fill="0A0D10" w:val="clear"/>
            <w:tcMar>
              <w:top w:type="dxa" w:w="100"/>
              <w:left w:type="dxa" w:w="140"/>
              <w:bottom w:type="dxa" w:w="100"/>
              <w:right w:type="dxa" w:w="140"/>
            </w:tcMar>
            <w:vAlign w:val="center"/>
          </w:tcPr>
          <w:p>
            <w:pPr>
              <w:jc w:val="left"/>
            </w:pPr>
            <w:r>
              <w:rPr>
                <w:b/>
                <w:bCs/>
                <w:color w:val="FFFFFF"/>
                <w:sz w:val="20"/>
                <w:szCs w:val="20"/>
              </w:rPr>
              <w:t xml:space="preserve">Demand share</w:t>
            </w:r>
          </w:p>
        </w:tc>
        <w:tc>
          <w:tcPr>
            <w:tcW w:type="dxa" w:w="5560"/>
            <w:tcBorders>
              <w:top w:val="single" w:color="D1D5DB" w:sz="4"/>
              <w:left w:val="single" w:color="D1D5DB" w:sz="4"/>
              <w:bottom w:val="single" w:color="D1D5DB" w:sz="4"/>
              <w:right w:val="single" w:color="D1D5DB" w:sz="4"/>
            </w:tcBorders>
            <w:shd w:fill="0A0D10" w:val="clear"/>
            <w:tcMar>
              <w:top w:type="dxa" w:w="100"/>
              <w:left w:type="dxa" w:w="140"/>
              <w:bottom w:type="dxa" w:w="100"/>
              <w:right w:type="dxa" w:w="140"/>
            </w:tcMar>
            <w:vAlign w:val="center"/>
          </w:tcPr>
          <w:p>
            <w:pPr>
              <w:jc w:val="left"/>
            </w:pPr>
            <w:r>
              <w:rPr>
                <w:b/>
                <w:bCs/>
                <w:color w:val="FFFFFF"/>
                <w:sz w:val="20"/>
                <w:szCs w:val="20"/>
              </w:rPr>
              <w:t xml:space="preserve">Notes</w:t>
            </w:r>
          </w:p>
        </w:tc>
      </w:tr>
      <w:tr>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bCs/>
                <w:sz w:val="20"/>
                <w:szCs w:val="20"/>
              </w:rPr>
              <w:t xml:space="preserve">9:00 AM</w:t>
            </w:r>
          </w:p>
        </w:tc>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22%</w:t>
            </w:r>
          </w:p>
        </w:tc>
        <w:tc>
          <w:tcPr>
            <w:tcW w:type="dxa" w:w="5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Strong morning demand, popular with retirees</w:t>
            </w:r>
          </w:p>
        </w:tc>
      </w:tr>
      <w:tr>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bCs/>
                <w:sz w:val="20"/>
                <w:szCs w:val="20"/>
              </w:rPr>
              <w:t xml:space="preserve">11:30 AM</w:t>
            </w:r>
          </w:p>
        </w:tc>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24%</w:t>
            </w:r>
          </w:p>
        </w:tc>
        <w:tc>
          <w:tcPr>
            <w:tcW w:type="dxa" w:w="5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Peak slot across all territories</w:t>
            </w:r>
          </w:p>
        </w:tc>
      </w:tr>
      <w:tr>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bCs/>
                <w:sz w:val="20"/>
                <w:szCs w:val="20"/>
              </w:rPr>
              <w:t xml:space="preserve">2:00 PM</w:t>
            </w:r>
          </w:p>
        </w:tc>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22%</w:t>
            </w:r>
          </w:p>
        </w:tc>
        <w:tc>
          <w:tcPr>
            <w:tcW w:type="dxa" w:w="5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Solid afternoon performance</w:t>
            </w:r>
          </w:p>
        </w:tc>
      </w:tr>
      <w:tr>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bCs/>
                <w:sz w:val="20"/>
                <w:szCs w:val="20"/>
              </w:rPr>
              <w:t xml:space="preserve">5:00 PM</w:t>
            </w:r>
          </w:p>
        </w:tc>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20%</w:t>
            </w:r>
          </w:p>
        </w:tc>
        <w:tc>
          <w:tcPr>
            <w:tcW w:type="dxa" w:w="5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Popular with working families</w:t>
            </w:r>
          </w:p>
        </w:tc>
      </w:tr>
      <w:tr>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bCs/>
                <w:sz w:val="20"/>
                <w:szCs w:val="20"/>
              </w:rPr>
              <w:t xml:space="preserve">7:00 PM</w:t>
            </w:r>
          </w:p>
        </w:tc>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12%</w:t>
            </w:r>
          </w:p>
        </w:tc>
        <w:tc>
          <w:tcPr>
            <w:tcW w:type="dxa" w:w="5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Weekdays only — no 7 PM weekend slots</w:t>
            </w:r>
          </w:p>
        </w:tc>
      </w:tr>
    </w:tbl>
    <w:p>
      <w:pPr>
        <w:pStyle w:val="Heading2"/>
        <w:spacing w:after="140" w:before="280"/>
      </w:pPr>
      <w:r>
        <w:t xml:space="preserve">5.4 Lead source categorization</w:t>
      </w:r>
    </w:p>
    <w:p>
      <w:pPr>
        <w:spacing w:after="80" w:before="80" w:line="300"/>
      </w:pPr>
      <w:r>
        <w:rPr>
          <w:sz w:val="22"/>
          <w:szCs w:val="22"/>
        </w:rPr>
        <w:t xml:space="preserve">155 distinct lead sources in Salesforce were consolidated into 7 categories for forecasting. Sit rates (probability the customer is home and qualified) vary dramatically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400"/>
        <w:gridCol w:w="2760"/>
      </w:tblGrid>
      <w:tr>
        <w:tc>
          <w:tcPr>
            <w:tcW w:type="dxa" w:w="2600"/>
            <w:tcBorders>
              <w:top w:val="single" w:color="D1D5DB" w:sz="4"/>
              <w:left w:val="single" w:color="D1D5DB" w:sz="4"/>
              <w:bottom w:val="single" w:color="D1D5DB" w:sz="4"/>
              <w:right w:val="single" w:color="D1D5DB" w:sz="4"/>
            </w:tcBorders>
            <w:shd w:fill="0A0D10" w:val="clear"/>
            <w:tcMar>
              <w:top w:type="dxa" w:w="100"/>
              <w:left w:type="dxa" w:w="140"/>
              <w:bottom w:type="dxa" w:w="100"/>
              <w:right w:type="dxa" w:w="140"/>
            </w:tcMar>
            <w:vAlign w:val="center"/>
          </w:tcPr>
          <w:p>
            <w:pPr>
              <w:jc w:val="left"/>
            </w:pPr>
            <w:r>
              <w:rPr>
                <w:b/>
                <w:bCs/>
                <w:color w:val="FFFFFF"/>
                <w:sz w:val="20"/>
                <w:szCs w:val="20"/>
              </w:rPr>
              <w:t xml:space="preserve">Category</w:t>
            </w:r>
          </w:p>
        </w:tc>
        <w:tc>
          <w:tcPr>
            <w:tcW w:type="dxa" w:w="1600"/>
            <w:tcBorders>
              <w:top w:val="single" w:color="D1D5DB" w:sz="4"/>
              <w:left w:val="single" w:color="D1D5DB" w:sz="4"/>
              <w:bottom w:val="single" w:color="D1D5DB" w:sz="4"/>
              <w:right w:val="single" w:color="D1D5DB" w:sz="4"/>
            </w:tcBorders>
            <w:shd w:fill="0A0D10" w:val="clear"/>
            <w:tcMar>
              <w:top w:type="dxa" w:w="100"/>
              <w:left w:type="dxa" w:w="140"/>
              <w:bottom w:type="dxa" w:w="100"/>
              <w:right w:type="dxa" w:w="140"/>
            </w:tcMar>
            <w:vAlign w:val="center"/>
          </w:tcPr>
          <w:p>
            <w:pPr>
              <w:jc w:val="left"/>
            </w:pPr>
            <w:r>
              <w:rPr>
                <w:b/>
                <w:bCs/>
                <w:color w:val="FFFFFF"/>
                <w:sz w:val="20"/>
                <w:szCs w:val="20"/>
              </w:rPr>
              <w:t xml:space="preserve">Sit rate</w:t>
            </w:r>
          </w:p>
        </w:tc>
        <w:tc>
          <w:tcPr>
            <w:tcW w:type="dxa" w:w="2400"/>
            <w:tcBorders>
              <w:top w:val="single" w:color="D1D5DB" w:sz="4"/>
              <w:left w:val="single" w:color="D1D5DB" w:sz="4"/>
              <w:bottom w:val="single" w:color="D1D5DB" w:sz="4"/>
              <w:right w:val="single" w:color="D1D5DB" w:sz="4"/>
            </w:tcBorders>
            <w:shd w:fill="0A0D10" w:val="clear"/>
            <w:tcMar>
              <w:top w:type="dxa" w:w="100"/>
              <w:left w:type="dxa" w:w="140"/>
              <w:bottom w:type="dxa" w:w="100"/>
              <w:right w:type="dxa" w:w="140"/>
            </w:tcMar>
            <w:vAlign w:val="center"/>
          </w:tcPr>
          <w:p>
            <w:pPr>
              <w:jc w:val="left"/>
            </w:pPr>
            <w:r>
              <w:rPr>
                <w:b/>
                <w:bCs/>
                <w:color w:val="FFFFFF"/>
                <w:sz w:val="20"/>
                <w:szCs w:val="20"/>
              </w:rPr>
              <w:t xml:space="preserve">Observations</w:t>
            </w:r>
          </w:p>
        </w:tc>
        <w:tc>
          <w:tcPr>
            <w:tcW w:type="dxa" w:w="2760"/>
            <w:tcBorders>
              <w:top w:val="single" w:color="D1D5DB" w:sz="4"/>
              <w:left w:val="single" w:color="D1D5DB" w:sz="4"/>
              <w:bottom w:val="single" w:color="D1D5DB" w:sz="4"/>
              <w:right w:val="single" w:color="D1D5DB" w:sz="4"/>
            </w:tcBorders>
            <w:shd w:fill="0A0D10" w:val="clear"/>
            <w:tcMar>
              <w:top w:type="dxa" w:w="100"/>
              <w:left w:type="dxa" w:w="140"/>
              <w:bottom w:type="dxa" w:w="100"/>
              <w:right w:type="dxa" w:w="140"/>
            </w:tcMar>
            <w:vAlign w:val="center"/>
          </w:tcPr>
          <w:p>
            <w:pPr>
              <w:jc w:val="left"/>
            </w:pPr>
            <w:r>
              <w:rPr>
                <w:b/>
                <w:bCs/>
                <w:color w:val="FFFFFF"/>
                <w:sz w:val="20"/>
                <w:szCs w:val="20"/>
              </w:rPr>
              <w:t xml:space="preserve">Examples</w:t>
            </w:r>
          </w:p>
        </w:tc>
      </w:tr>
      <w:tr>
        <w:tc>
          <w:tcPr>
            <w:tcW w:type="dxa" w:w="26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Get the Referral</w:t>
            </w:r>
          </w:p>
        </w:tc>
        <w:tc>
          <w:tcPr>
            <w:tcW w:type="dxa" w:w="16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bCs/>
                <w:color w:val="16A34A"/>
                <w:sz w:val="20"/>
                <w:szCs w:val="20"/>
              </w:rPr>
              <w:t xml:space="preserve">46.9%</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6,060</w:t>
            </w:r>
          </w:p>
        </w:tc>
        <w:tc>
          <w:tcPr>
            <w:tcW w:type="dxa" w:w="27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Customer referrals, employee refs</w:t>
            </w:r>
          </w:p>
        </w:tc>
      </w:tr>
      <w:tr>
        <w:tc>
          <w:tcPr>
            <w:tcW w:type="dxa" w:w="26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Inbound / Website</w:t>
            </w:r>
          </w:p>
        </w:tc>
        <w:tc>
          <w:tcPr>
            <w:tcW w:type="dxa" w:w="16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bCs/>
                <w:color w:val="16A34A"/>
                <w:sz w:val="20"/>
                <w:szCs w:val="20"/>
              </w:rPr>
              <w:t xml:space="preserve">35.8%</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7,204</w:t>
            </w:r>
          </w:p>
        </w:tc>
        <w:tc>
          <w:tcPr>
            <w:tcW w:type="dxa" w:w="27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Website, Call-in, LiveChat</w:t>
            </w:r>
          </w:p>
        </w:tc>
      </w:tr>
      <w:tr>
        <w:tc>
          <w:tcPr>
            <w:tcW w:type="dxa" w:w="26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Paid leads</w:t>
            </w:r>
          </w:p>
        </w:tc>
        <w:tc>
          <w:tcPr>
            <w:tcW w:type="dxa" w:w="16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bCs/>
                <w:sz w:val="20"/>
                <w:szCs w:val="20"/>
              </w:rPr>
              <w:t xml:space="preserve">30.3%</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79,157</w:t>
            </w:r>
          </w:p>
        </w:tc>
        <w:tc>
          <w:tcPr>
            <w:tcW w:type="dxa" w:w="27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Modernize, Clean Energy Experts, SolarReviews</w:t>
            </w:r>
          </w:p>
        </w:tc>
      </w:tr>
      <w:tr>
        <w:tc>
          <w:tcPr>
            <w:tcW w:type="dxa" w:w="26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Event</w:t>
            </w:r>
          </w:p>
        </w:tc>
        <w:tc>
          <w:tcPr>
            <w:tcW w:type="dxa" w:w="16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26.9%</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52</w:t>
            </w:r>
          </w:p>
        </w:tc>
        <w:tc>
          <w:tcPr>
            <w:tcW w:type="dxa" w:w="27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Home shows, sports partnerships</w:t>
            </w:r>
          </w:p>
        </w:tc>
      </w:tr>
      <w:tr>
        <w:tc>
          <w:tcPr>
            <w:tcW w:type="dxa" w:w="26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Partner</w:t>
            </w:r>
          </w:p>
        </w:tc>
        <w:tc>
          <w:tcPr>
            <w:tcW w:type="dxa" w:w="16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color w:val="B45309"/>
                <w:sz w:val="20"/>
                <w:szCs w:val="20"/>
              </w:rPr>
              <w:t xml:space="preserve">22.1%</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10,597</w:t>
            </w:r>
          </w:p>
        </w:tc>
        <w:tc>
          <w:tcPr>
            <w:tcW w:type="dxa" w:w="27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GreenWatt, Verse, Sunnova, Lo Mano</w:t>
            </w:r>
          </w:p>
        </w:tc>
      </w:tr>
      <w:tr>
        <w:tc>
          <w:tcPr>
            <w:tcW w:type="dxa" w:w="26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Self Gen / Canvass</w:t>
            </w:r>
          </w:p>
        </w:tc>
        <w:tc>
          <w:tcPr>
            <w:tcW w:type="dxa" w:w="16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color w:val="B45309"/>
                <w:sz w:val="20"/>
                <w:szCs w:val="20"/>
              </w:rPr>
              <w:t xml:space="preserve">18.6%</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11,963</w:t>
            </w:r>
          </w:p>
        </w:tc>
        <w:tc>
          <w:tcPr>
            <w:tcW w:type="dxa" w:w="27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Door-to-door, self-generated</w:t>
            </w:r>
          </w:p>
        </w:tc>
      </w:tr>
      <w:tr>
        <w:tc>
          <w:tcPr>
            <w:tcW w:type="dxa" w:w="26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Retail</w:t>
            </w:r>
          </w:p>
        </w:tc>
        <w:tc>
          <w:tcPr>
            <w:tcW w:type="dxa" w:w="16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color w:val="DC2626"/>
                <w:sz w:val="20"/>
                <w:szCs w:val="20"/>
              </w:rPr>
              <w:t xml:space="preserve">17.3%</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284</w:t>
            </w:r>
          </w:p>
        </w:tc>
        <w:tc>
          <w:tcPr>
            <w:tcW w:type="dxa" w:w="27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BJs, Ace Hardware partnerships</w:t>
            </w:r>
          </w:p>
        </w:tc>
      </w:tr>
    </w:tbl>
    <w:p>
      <w:r>
        <w:br w:type="page"/>
      </w:r>
    </w:p>
    <w:p>
      <w:pPr>
        <w:pStyle w:val="Heading1"/>
        <w:spacing w:after="180" w:before="360"/>
      </w:pPr>
      <w:r>
        <w:t xml:space="preserve">6. Analytics &amp; Forecasting</w:t>
      </w:r>
    </w:p>
    <w:p>
      <w:pPr>
        <w:spacing w:after="80" w:before="80" w:line="300"/>
      </w:pPr>
      <w:r>
        <w:rPr>
          <w:sz w:val="22"/>
          <w:szCs w:val="22"/>
        </w:rPr>
        <w:t xml:space="preserve">The forecasting engine is the analytical core of the system. It was built from three Salesforce data exports covering April 2023 through April 2026 and is embedded directly in the app as a JavaScript module.</w:t>
      </w:r>
    </w:p>
    <w:p>
      <w:pPr>
        <w:pStyle w:val="Heading2"/>
        <w:spacing w:after="140" w:before="280"/>
      </w:pPr>
      <w:r>
        <w:t xml:space="preserve">6.1 Demand forecast</w:t>
      </w:r>
    </w:p>
    <w:p>
      <w:pPr>
        <w:spacing w:after="80" w:before="80" w:line="300"/>
      </w:pPr>
      <w:r>
        <w:rPr>
          <w:sz w:val="22"/>
          <w:szCs w:val="22"/>
        </w:rPr>
        <w:t xml:space="preserve">For any given date and territory, the engine predicts expected appointment volume using three layered signals:</w:t>
      </w:r>
    </w:p>
    <w:p>
      <w:pPr>
        <w:pStyle w:val="ListParagraph"/>
        <w:numPr>
          <w:ilvl w:val="0"/>
          <w:numId w:val="2"/>
        </w:numPr>
        <w:spacing w:after="40" w:before="40" w:line="300"/>
      </w:pPr>
      <w:r>
        <w:rPr>
          <w:b/>
          <w:bCs/>
          <w:sz w:val="22"/>
          <w:szCs w:val="22"/>
        </w:rPr>
        <w:t xml:space="preserve">Territory × day-of-week baseline — </w:t>
      </w:r>
      <w:r>
        <w:rPr>
          <w:sz w:val="22"/>
          <w:szCs w:val="22"/>
        </w:rPr>
        <w:t xml:space="preserve">historical average from 8,047 daily records</w:t>
      </w:r>
    </w:p>
    <w:p>
      <w:pPr>
        <w:pStyle w:val="ListParagraph"/>
        <w:numPr>
          <w:ilvl w:val="0"/>
          <w:numId w:val="2"/>
        </w:numPr>
        <w:spacing w:after="40" w:before="40" w:line="300"/>
      </w:pPr>
      <w:r>
        <w:rPr>
          <w:b/>
          <w:bCs/>
          <w:sz w:val="22"/>
          <w:szCs w:val="22"/>
        </w:rPr>
        <w:t xml:space="preserve">Monthly seasonality — </w:t>
      </w:r>
      <w:r>
        <w:rPr>
          <w:sz w:val="22"/>
          <w:szCs w:val="22"/>
        </w:rPr>
        <w:t xml:space="preserve">multiplier relative to annual average (July: 1.23×, December: 0.70×)</w:t>
      </w:r>
    </w:p>
    <w:p>
      <w:pPr>
        <w:pStyle w:val="ListParagraph"/>
        <w:numPr>
          <w:ilvl w:val="0"/>
          <w:numId w:val="2"/>
        </w:numPr>
        <w:spacing w:after="40" w:before="40" w:line="300"/>
      </w:pPr>
      <w:r>
        <w:rPr>
          <w:b/>
          <w:bCs/>
          <w:sz w:val="22"/>
          <w:szCs w:val="22"/>
        </w:rPr>
        <w:t xml:space="preserve">90-day trend — </w:t>
      </w:r>
      <w:r>
        <w:rPr>
          <w:sz w:val="22"/>
          <w:szCs w:val="22"/>
        </w:rPr>
        <w:t xml:space="preserve">recent momentum vs. prior 90 days, capped at ±15% adjustment</w:t>
      </w:r>
    </w:p>
    <w:p>
      <w:pPr>
        <w:spacing w:after="80" w:before="80" w:line="300"/>
      </w:pPr>
      <w:r>
        <w:rPr>
          <w:sz w:val="22"/>
          <w:szCs w:val="22"/>
        </w:rPr>
        <w:t xml:space="preserve">Output includes a point estimate and a ±30% confidence interval appropriate for single-day forecasts.</w:t>
      </w:r>
    </w:p>
    <w:p>
      <w:pPr>
        <w:pStyle w:val="Heading2"/>
        <w:spacing w:after="140" w:before="280"/>
      </w:pPr>
      <w:r>
        <w:t xml:space="preserve">6.2 Sit-rate prediction</w:t>
      </w:r>
    </w:p>
    <w:p>
      <w:pPr>
        <w:spacing w:after="80" w:before="80" w:line="300"/>
      </w:pPr>
      <w:r>
        <w:rPr>
          <w:sz w:val="22"/>
          <w:szCs w:val="22"/>
        </w:rPr>
        <w:t xml:space="preserve">Given a lead source (or category), the engine returns the expected probability that a scheduled appointment results in a completed meeting. This powers the staffing calculator and can be used to prioritize rep assignments.</w:t>
      </w:r>
    </w:p>
    <w:p>
      <w:pPr>
        <w:pStyle w:val="Heading2"/>
        <w:spacing w:after="140" w:before="280"/>
      </w:pPr>
      <w:r>
        <w:t xml:space="preserve">6.3 Staffing calculator</w:t>
      </w:r>
    </w:p>
    <w:p>
      <w:pPr>
        <w:spacing w:after="80" w:before="80" w:line="300"/>
      </w:pPr>
      <w:r>
        <w:rPr>
          <w:sz w:val="22"/>
          <w:szCs w:val="22"/>
        </w:rPr>
        <w:t xml:space="preserve">Combines demand forecast × weighted sit rate ÷ appointments-per-rep capacity to recommend how many reps each territory needs on a given day. Default capacity is 3 appointments per rep per day.</w:t>
      </w:r>
    </w:p>
    <w:p>
      <w:pPr>
        <w:pStyle w:val="Heading2"/>
        <w:spacing w:after="140" w:before="280"/>
      </w:pPr>
      <w:r>
        <w:t xml:space="preserve">6.4 Slot demand scoring</w:t>
      </w:r>
    </w:p>
    <w:p>
      <w:pPr>
        <w:spacing w:after="80" w:before="80" w:line="300"/>
      </w:pPr>
      <w:r>
        <w:rPr>
          <w:sz w:val="22"/>
          <w:szCs w:val="22"/>
        </w:rPr>
        <w:t xml:space="preserve">Each time slot is scored 0–100 based on historical demand share. This lets the UI signal which slots are most valuable and helps partner booking pages prioritize open high-value slots.</w:t>
      </w:r>
    </w:p>
    <w:p>
      <w:pPr>
        <w:pStyle w:val="Heading2"/>
        <w:spacing w:after="140" w:before="280"/>
      </w:pPr>
      <w:r>
        <w:t xml:space="preserve">6.5 Key insights surfaced from analysis</w:t>
      </w:r>
    </w:p>
    <w:p>
      <w:pPr>
        <w:pStyle w:val="ListParagraph"/>
        <w:numPr>
          <w:ilvl w:val="0"/>
          <w:numId w:val="2"/>
        </w:numPr>
        <w:spacing w:after="40" w:before="40" w:line="300"/>
      </w:pPr>
      <w:r>
        <w:rPr>
          <w:sz w:val="22"/>
          <w:szCs w:val="22"/>
        </w:rPr>
        <w:t xml:space="preserve">Wednesday is the busiest day across every territory</w:t>
      </w:r>
    </w:p>
    <w:p>
      <w:pPr>
        <w:pStyle w:val="ListParagraph"/>
        <w:numPr>
          <w:ilvl w:val="0"/>
          <w:numId w:val="2"/>
        </w:numPr>
        <w:spacing w:after="40" w:before="40" w:line="300"/>
      </w:pPr>
      <w:r>
        <w:rPr>
          <w:sz w:val="22"/>
          <w:szCs w:val="22"/>
        </w:rPr>
        <w:t xml:space="preserve">Sit rate is improving: 28.4% (a year ago) → 30.8% (current), +2.4pp over 12 months</w:t>
      </w:r>
    </w:p>
    <w:p>
      <w:pPr>
        <w:pStyle w:val="ListParagraph"/>
        <w:numPr>
          <w:ilvl w:val="0"/>
          <w:numId w:val="2"/>
        </w:numPr>
        <w:spacing w:after="40" w:before="40" w:line="300"/>
      </w:pPr>
      <w:r>
        <w:rPr>
          <w:sz w:val="22"/>
          <w:szCs w:val="22"/>
        </w:rPr>
        <w:t xml:space="preserve">Peak summer season (July–August) runs 23–28% above annual average demand</w:t>
      </w:r>
    </w:p>
    <w:p>
      <w:pPr>
        <w:pStyle w:val="ListParagraph"/>
        <w:numPr>
          <w:ilvl w:val="0"/>
          <w:numId w:val="2"/>
        </w:numPr>
        <w:spacing w:after="40" w:before="40" w:line="300"/>
      </w:pPr>
      <w:r>
        <w:rPr>
          <w:sz w:val="22"/>
          <w:szCs w:val="22"/>
        </w:rPr>
        <w:t xml:space="preserve">December demand drops to 70% of annual average — plan training/offsites then</w:t>
      </w:r>
    </w:p>
    <w:p>
      <w:pPr>
        <w:pStyle w:val="ListParagraph"/>
        <w:numPr>
          <w:ilvl w:val="0"/>
          <w:numId w:val="2"/>
        </w:numPr>
        <w:spacing w:after="40" w:before="40" w:line="300"/>
      </w:pPr>
      <w:r>
        <w:rPr>
          <w:sz w:val="22"/>
          <w:szCs w:val="22"/>
        </w:rPr>
        <w:t xml:space="preserve">MARI territory is down 38% in the last 90 days vs. prior 90 — warrants investigation</w:t>
      </w:r>
    </w:p>
    <w:p>
      <w:pPr>
        <w:pStyle w:val="ListParagraph"/>
        <w:numPr>
          <w:ilvl w:val="0"/>
          <w:numId w:val="2"/>
        </w:numPr>
        <w:spacing w:after="40" w:before="40" w:line="300"/>
      </w:pPr>
      <w:r>
        <w:rPr>
          <w:sz w:val="22"/>
          <w:szCs w:val="22"/>
        </w:rPr>
        <w:t xml:space="preserve">CT territory is up 5% in the last 90 days — only growing region currently</w:t>
      </w:r>
    </w:p>
    <w:p>
      <w:r>
        <w:br w:type="page"/>
      </w:r>
    </w:p>
    <w:p>
      <w:pPr>
        <w:pStyle w:val="Heading1"/>
        <w:spacing w:after="180" w:before="360"/>
      </w:pPr>
      <w:r>
        <w:t xml:space="preserve">7. Deployment &amp; Operations</w:t>
      </w:r>
    </w:p>
    <w:p>
      <w:pPr>
        <w:pStyle w:val="Heading2"/>
        <w:spacing w:after="140" w:before="280"/>
      </w:pPr>
      <w:r>
        <w:t xml:space="preserve">7.1 Deployment pipeline</w:t>
      </w:r>
    </w:p>
    <w:p>
      <w:pPr>
        <w:spacing w:after="80" w:before="80" w:line="300"/>
      </w:pPr>
      <w:r>
        <w:rPr>
          <w:sz w:val="22"/>
          <w:szCs w:val="22"/>
        </w:rPr>
        <w:t xml:space="preserve">Deployment is a single command from the repo root:</w:t>
      </w:r>
    </w:p>
    <w:p>
      <w:pPr>
        <w:shd w:fill="F3F4F6" w:val="clear"/>
        <w:spacing w:after="60" w:before="60"/>
      </w:pPr>
      <w:r>
        <w:rPr>
          <w:rFonts w:ascii="Courier New" w:cs="Courier New" w:eastAsia="Courier New" w:hAnsi="Courier New"/>
          <w:sz w:val="20"/>
          <w:szCs w:val="20"/>
        </w:rPr>
        <w:t xml:space="preserve">gcloud run deploy venture-home-scheduler --source . --region us-east1 \</w:t>
      </w:r>
    </w:p>
    <w:p>
      <w:pPr>
        <w:shd w:fill="F3F4F6" w:val="clear"/>
        <w:spacing w:after="60" w:before="60"/>
      </w:pPr>
      <w:r>
        <w:rPr>
          <w:rFonts w:ascii="Courier New" w:cs="Courier New" w:eastAsia="Courier New" w:hAnsi="Courier New"/>
          <w:sz w:val="20"/>
          <w:szCs w:val="20"/>
        </w:rPr>
        <w:t xml:space="preserve">  --allow-unauthenticated --port 8080 --memory 512Mi \</w:t>
      </w:r>
    </w:p>
    <w:p>
      <w:pPr>
        <w:shd w:fill="F3F4F6" w:val="clear"/>
        <w:spacing w:after="60" w:before="60"/>
      </w:pPr>
      <w:r>
        <w:rPr>
          <w:rFonts w:ascii="Courier New" w:cs="Courier New" w:eastAsia="Courier New" w:hAnsi="Courier New"/>
          <w:sz w:val="20"/>
          <w:szCs w:val="20"/>
        </w:rPr>
        <w:t xml:space="preserve">  --update-env-vars USE_MOCK=true,NODE_ENV=production</w:t>
      </w:r>
    </w:p>
    <w:p>
      <w:pPr>
        <w:spacing w:after="80" w:before="80" w:line="300"/>
      </w:pPr>
      <w:r>
        <w:rPr>
          <w:sz w:val="22"/>
          <w:szCs w:val="22"/>
        </w:rPr>
        <w:t xml:space="preserve">This triggers Cloud Build to:</w:t>
      </w:r>
    </w:p>
    <w:p>
      <w:pPr>
        <w:pStyle w:val="ListParagraph"/>
        <w:numPr>
          <w:ilvl w:val="0"/>
          <w:numId w:val="2"/>
        </w:numPr>
        <w:spacing w:after="40" w:before="40" w:line="300"/>
      </w:pPr>
      <w:r>
        <w:rPr>
          <w:sz w:val="22"/>
          <w:szCs w:val="22"/>
        </w:rPr>
        <w:t xml:space="preserve">Upload project source (excluding items in .gcloudignore)</w:t>
      </w:r>
    </w:p>
    <w:p>
      <w:pPr>
        <w:pStyle w:val="ListParagraph"/>
        <w:numPr>
          <w:ilvl w:val="0"/>
          <w:numId w:val="2"/>
        </w:numPr>
        <w:spacing w:after="40" w:before="40" w:line="300"/>
      </w:pPr>
      <w:r>
        <w:rPr>
          <w:sz w:val="22"/>
          <w:szCs w:val="22"/>
        </w:rPr>
        <w:t xml:space="preserve">Build the Docker image using the multi-stage Dockerfile</w:t>
      </w:r>
    </w:p>
    <w:p>
      <w:pPr>
        <w:pStyle w:val="ListParagraph"/>
        <w:numPr>
          <w:ilvl w:val="0"/>
          <w:numId w:val="2"/>
        </w:numPr>
        <w:spacing w:after="40" w:before="40" w:line="300"/>
      </w:pPr>
      <w:r>
        <w:rPr>
          <w:sz w:val="22"/>
          <w:szCs w:val="22"/>
        </w:rPr>
        <w:t xml:space="preserve">Push the image to Artifact Registry</w:t>
      </w:r>
    </w:p>
    <w:p>
      <w:pPr>
        <w:pStyle w:val="ListParagraph"/>
        <w:numPr>
          <w:ilvl w:val="0"/>
          <w:numId w:val="2"/>
        </w:numPr>
        <w:spacing w:after="40" w:before="40" w:line="300"/>
      </w:pPr>
      <w:r>
        <w:rPr>
          <w:sz w:val="22"/>
          <w:szCs w:val="22"/>
        </w:rPr>
        <w:t xml:space="preserve">Roll out a new revision on Cloud Run</w:t>
      </w:r>
    </w:p>
    <w:p>
      <w:pPr>
        <w:pStyle w:val="ListParagraph"/>
        <w:numPr>
          <w:ilvl w:val="0"/>
          <w:numId w:val="2"/>
        </w:numPr>
        <w:spacing w:after="40" w:before="40" w:line="300"/>
      </w:pPr>
      <w:r>
        <w:rPr>
          <w:sz w:val="22"/>
          <w:szCs w:val="22"/>
        </w:rPr>
        <w:t xml:space="preserve">Shift 100% of traffic to the new revision</w:t>
      </w:r>
    </w:p>
    <w:p>
      <w:pPr>
        <w:spacing w:after="80" w:before="80" w:line="300"/>
      </w:pPr>
      <w:r>
        <w:rPr>
          <w:sz w:val="22"/>
          <w:szCs w:val="22"/>
        </w:rPr>
        <w:t xml:space="preserve">End-to-end deploy time: ~3–5 minutes.</w:t>
      </w:r>
    </w:p>
    <w:p>
      <w:pPr>
        <w:pStyle w:val="Heading2"/>
        <w:spacing w:after="140" w:before="280"/>
      </w:pPr>
      <w:r>
        <w:t xml:space="preserve">7.2 Environment variables</w:t>
      </w:r>
    </w:p>
    <w:p>
      <w:pPr>
        <w:spacing w:after="80" w:before="80" w:line="300"/>
      </w:pPr>
      <w:r>
        <w:rPr>
          <w:sz w:val="22"/>
          <w:szCs w:val="22"/>
        </w:rPr>
        <w:t xml:space="preserve">All secrets and configuration live in Cloud Run environment variables (or, recommended, Google Secret Manager for sensitive values). The .env.example file documents all required keys:</w:t>
      </w:r>
    </w:p>
    <w:p>
      <w:pPr>
        <w:pStyle w:val="ListParagraph"/>
        <w:numPr>
          <w:ilvl w:val="0"/>
          <w:numId w:val="2"/>
        </w:numPr>
        <w:spacing w:after="40" w:before="40" w:line="300"/>
      </w:pPr>
      <w:r>
        <w:rPr>
          <w:sz w:val="22"/>
          <w:szCs w:val="22"/>
        </w:rPr>
        <w:t xml:space="preserve">NODE_ENV, PORT, FRONTEND_URL, USE_MOCK — core config</w:t>
      </w:r>
    </w:p>
    <w:p>
      <w:pPr>
        <w:pStyle w:val="ListParagraph"/>
        <w:numPr>
          <w:ilvl w:val="0"/>
          <w:numId w:val="2"/>
        </w:numPr>
        <w:spacing w:after="40" w:before="40" w:line="300"/>
      </w:pPr>
      <w:r>
        <w:rPr>
          <w:sz w:val="22"/>
          <w:szCs w:val="22"/>
        </w:rPr>
        <w:t xml:space="preserve">GOOGLE_CALENDAR_CLIENT_ID, _SECRET, _REDIRECT_URI — OAuth credentials</w:t>
      </w:r>
    </w:p>
    <w:p>
      <w:pPr>
        <w:pStyle w:val="ListParagraph"/>
        <w:numPr>
          <w:ilvl w:val="0"/>
          <w:numId w:val="2"/>
        </w:numPr>
        <w:spacing w:after="40" w:before="40" w:line="300"/>
      </w:pPr>
      <w:r>
        <w:rPr>
          <w:sz w:val="22"/>
          <w:szCs w:val="22"/>
        </w:rPr>
        <w:t xml:space="preserve">SF_CLIENT_ID, _SECRET, _USERNAME, _PASSWORD, _SECURITY_TOKEN, _LOGIN_URL — Salesforce</w:t>
      </w:r>
    </w:p>
    <w:p>
      <w:pPr>
        <w:pStyle w:val="ListParagraph"/>
        <w:numPr>
          <w:ilvl w:val="0"/>
          <w:numId w:val="2"/>
        </w:numPr>
        <w:spacing w:after="40" w:before="40" w:line="300"/>
      </w:pPr>
      <w:r>
        <w:rPr>
          <w:sz w:val="22"/>
          <w:szCs w:val="22"/>
        </w:rPr>
        <w:t xml:space="preserve">SMS_EMAIL_NOTIFICATIONS_API_KEY — messaging provider</w:t>
      </w:r>
    </w:p>
    <w:p>
      <w:pPr>
        <w:pStyle w:val="ListParagraph"/>
        <w:numPr>
          <w:ilvl w:val="0"/>
          <w:numId w:val="2"/>
        </w:numPr>
        <w:spacing w:after="40" w:before="40" w:line="300"/>
      </w:pPr>
      <w:r>
        <w:rPr>
          <w:sz w:val="22"/>
          <w:szCs w:val="22"/>
        </w:rPr>
        <w:t xml:space="preserve">GREENWATT_API_KEY, VERSE_API_KEY, SUNLINK_API_KEY, LO_MANO_API_KEY, REMIX_DYNAMICS_API_KEY — partner APIs</w:t>
      </w:r>
    </w:p>
    <w:p>
      <w:pPr>
        <w:pStyle w:val="Heading2"/>
        <w:spacing w:after="140" w:before="280"/>
      </w:pPr>
      <w:r>
        <w:t xml:space="preserve">7.3 Operational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4"/>
              <w:left w:val="single" w:color="D1D5DB" w:sz="4"/>
              <w:bottom w:val="single" w:color="D1D5DB" w:sz="4"/>
              <w:right w:val="single" w:color="D1D5DB" w:sz="4"/>
            </w:tcBorders>
            <w:shd w:fill="0A0D10" w:val="clear"/>
            <w:tcMar>
              <w:top w:type="dxa" w:w="100"/>
              <w:left w:type="dxa" w:w="140"/>
              <w:bottom w:type="dxa" w:w="100"/>
              <w:right w:type="dxa" w:w="140"/>
            </w:tcMar>
            <w:vAlign w:val="center"/>
          </w:tcPr>
          <w:p>
            <w:pPr>
              <w:jc w:val="left"/>
            </w:pPr>
            <w:r>
              <w:rPr>
                <w:b/>
                <w:bCs/>
                <w:color w:val="FFFFFF"/>
                <w:sz w:val="20"/>
                <w:szCs w:val="20"/>
              </w:rPr>
              <w:t xml:space="preserve">Aspect</w:t>
            </w:r>
          </w:p>
        </w:tc>
        <w:tc>
          <w:tcPr>
            <w:tcW w:type="dxa" w:w="6560"/>
            <w:tcBorders>
              <w:top w:val="single" w:color="D1D5DB" w:sz="4"/>
              <w:left w:val="single" w:color="D1D5DB" w:sz="4"/>
              <w:bottom w:val="single" w:color="D1D5DB" w:sz="4"/>
              <w:right w:val="single" w:color="D1D5DB" w:sz="4"/>
            </w:tcBorders>
            <w:shd w:fill="0A0D10" w:val="clear"/>
            <w:tcMar>
              <w:top w:type="dxa" w:w="100"/>
              <w:left w:type="dxa" w:w="140"/>
              <w:bottom w:type="dxa" w:w="100"/>
              <w:right w:type="dxa" w:w="140"/>
            </w:tcMar>
            <w:vAlign w:val="center"/>
          </w:tcPr>
          <w:p>
            <w:pPr>
              <w:jc w:val="left"/>
            </w:pPr>
            <w:r>
              <w:rPr>
                <w:b/>
                <w:bCs/>
                <w:color w:val="FFFFFF"/>
                <w:sz w:val="20"/>
                <w:szCs w:val="20"/>
              </w:rPr>
              <w:t xml:space="preserve">Approach</w:t>
            </w:r>
          </w:p>
        </w:tc>
      </w:tr>
      <w:tr>
        <w:tc>
          <w:tcPr>
            <w:tcW w:type="dxa" w:w="2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jc w:val="left"/>
            </w:pPr>
            <w:r>
              <w:rPr>
                <w:b/>
                <w:bCs/>
                <w:sz w:val="20"/>
                <w:szCs w:val="20"/>
              </w:rPr>
              <w:t xml:space="preserve">Logging</w:t>
            </w:r>
          </w:p>
        </w:tc>
        <w:tc>
          <w:tcPr>
            <w:tcW w:type="dxa" w:w="6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All logs flow to Google Cloud Logging automatically</w:t>
            </w:r>
          </w:p>
        </w:tc>
      </w:tr>
      <w:tr>
        <w:tc>
          <w:tcPr>
            <w:tcW w:type="dxa" w:w="2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jc w:val="left"/>
            </w:pPr>
            <w:r>
              <w:rPr>
                <w:b/>
                <w:bCs/>
                <w:sz w:val="20"/>
                <w:szCs w:val="20"/>
              </w:rPr>
              <w:t xml:space="preserve">Monitoring</w:t>
            </w:r>
          </w:p>
        </w:tc>
        <w:tc>
          <w:tcPr>
            <w:tcW w:type="dxa" w:w="6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Cloud Run built-in metrics (requests, latency, errors)</w:t>
            </w:r>
          </w:p>
        </w:tc>
      </w:tr>
      <w:tr>
        <w:tc>
          <w:tcPr>
            <w:tcW w:type="dxa" w:w="2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jc w:val="left"/>
            </w:pPr>
            <w:r>
              <w:rPr>
                <w:b/>
                <w:bCs/>
                <w:sz w:val="20"/>
                <w:szCs w:val="20"/>
              </w:rPr>
              <w:t xml:space="preserve">Uptime SLA</w:t>
            </w:r>
          </w:p>
        </w:tc>
        <w:tc>
          <w:tcPr>
            <w:tcW w:type="dxa" w:w="6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99.95% managed by Google Cloud Run</w:t>
            </w:r>
          </w:p>
        </w:tc>
      </w:tr>
      <w:tr>
        <w:tc>
          <w:tcPr>
            <w:tcW w:type="dxa" w:w="2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jc w:val="left"/>
            </w:pPr>
            <w:r>
              <w:rPr>
                <w:b/>
                <w:bCs/>
                <w:sz w:val="20"/>
                <w:szCs w:val="20"/>
              </w:rPr>
              <w:t xml:space="preserve">Rollback</w:t>
            </w:r>
          </w:p>
        </w:tc>
        <w:tc>
          <w:tcPr>
            <w:tcW w:type="dxa" w:w="6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One-click via Cloud Console — revisions are retained</w:t>
            </w:r>
          </w:p>
        </w:tc>
      </w:tr>
      <w:tr>
        <w:tc>
          <w:tcPr>
            <w:tcW w:type="dxa" w:w="2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jc w:val="left"/>
            </w:pPr>
            <w:r>
              <w:rPr>
                <w:b/>
                <w:bCs/>
                <w:sz w:val="20"/>
                <w:szCs w:val="20"/>
              </w:rPr>
              <w:t xml:space="preserve">CI/CD</w:t>
            </w:r>
          </w:p>
        </w:tc>
        <w:tc>
          <w:tcPr>
            <w:tcW w:type="dxa" w:w="6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Manual deploy today; Cloud Build Triggers can be added for git-based CD</w:t>
            </w:r>
          </w:p>
        </w:tc>
      </w:tr>
    </w:tbl>
    <w:p>
      <w:r>
        <w:br w:type="page"/>
      </w:r>
    </w:p>
    <w:p>
      <w:pPr>
        <w:pStyle w:val="Heading1"/>
        <w:spacing w:after="180" w:before="360"/>
      </w:pPr>
      <w:r>
        <w:t xml:space="preserve">8. Roadmap</w:t>
      </w:r>
    </w:p>
    <w:p>
      <w:pPr>
        <w:spacing w:after="80" w:before="80" w:line="300"/>
      </w:pPr>
      <w:r>
        <w:rPr>
          <w:sz w:val="22"/>
          <w:szCs w:val="22"/>
        </w:rPr>
        <w:t xml:space="preserve">Near-term work, ordered by impact. Exact sequencing depends on priorities and which data becomes available first.</w:t>
      </w:r>
    </w:p>
    <w:p>
      <w:pPr>
        <w:pStyle w:val="Heading2"/>
        <w:spacing w:after="140" w:before="280"/>
      </w:pPr>
      <w:r>
        <w:t xml:space="preserve">8.1 Phase 1 — Activate live integrations</w:t>
      </w:r>
    </w:p>
    <w:p>
      <w:pPr>
        <w:pStyle w:val="ListParagraph"/>
        <w:numPr>
          <w:ilvl w:val="0"/>
          <w:numId w:val="2"/>
        </w:numPr>
        <w:spacing w:after="40" w:before="40" w:line="300"/>
      </w:pPr>
      <w:r>
        <w:rPr>
          <w:b/>
          <w:bCs/>
          <w:sz w:val="22"/>
          <w:szCs w:val="22"/>
        </w:rPr>
        <w:t xml:space="preserve">Google Calendar OAuth — </w:t>
      </w:r>
      <w:r>
        <w:rPr>
          <w:sz w:val="22"/>
          <w:szCs w:val="22"/>
        </w:rPr>
        <w:t xml:space="preserve">create OAuth client, add redirect URI, flip USE_MOCK=false. Unlocks real rep calendar sync.</w:t>
      </w:r>
    </w:p>
    <w:p>
      <w:pPr>
        <w:pStyle w:val="ListParagraph"/>
        <w:numPr>
          <w:ilvl w:val="0"/>
          <w:numId w:val="2"/>
        </w:numPr>
        <w:spacing w:after="40" w:before="40" w:line="300"/>
      </w:pPr>
      <w:r>
        <w:rPr>
          <w:b/>
          <w:bCs/>
          <w:sz w:val="22"/>
          <w:szCs w:val="22"/>
        </w:rPr>
        <w:t xml:space="preserve">Salesforce Connected App — </w:t>
      </w:r>
      <w:r>
        <w:rPr>
          <w:sz w:val="22"/>
          <w:szCs w:val="22"/>
        </w:rPr>
        <w:t xml:space="preserve">set up OAuth, pull individual appointment rows via the documented SOQL query. Unlocks rep-level predictive assignment.</w:t>
      </w:r>
    </w:p>
    <w:p>
      <w:pPr>
        <w:pStyle w:val="ListParagraph"/>
        <w:numPr>
          <w:ilvl w:val="0"/>
          <w:numId w:val="2"/>
        </w:numPr>
        <w:spacing w:after="40" w:before="40" w:line="300"/>
      </w:pPr>
      <w:r>
        <w:rPr>
          <w:b/>
          <w:bCs/>
          <w:sz w:val="22"/>
          <w:szCs w:val="22"/>
        </w:rPr>
        <w:t xml:space="preserve">Custom domain — </w:t>
      </w:r>
      <w:r>
        <w:rPr>
          <w:sz w:val="22"/>
          <w:szCs w:val="22"/>
        </w:rPr>
        <w:t xml:space="preserve">map scheduler.venturehome.com to Cloud Run service.</w:t>
      </w:r>
    </w:p>
    <w:p>
      <w:pPr>
        <w:pStyle w:val="Heading2"/>
        <w:spacing w:after="140" w:before="280"/>
      </w:pPr>
      <w:r>
        <w:t xml:space="preserve">8.2 Phase 2 — Full predictive assignment model</w:t>
      </w:r>
    </w:p>
    <w:p>
      <w:pPr>
        <w:spacing w:after="80" w:before="80" w:line="300"/>
      </w:pPr>
      <w:r>
        <w:rPr>
          <w:sz w:val="22"/>
          <w:szCs w:val="22"/>
        </w:rPr>
        <w:t xml:space="preserve">With individual appointment rows available, the assignment logic can incorporate rep-specific close rates, historical lead-source performance per rep, territory-fit scoring, and drive-time optimization. Current Brian Graham lead (100 deals in 2025+) and Claire Sharkey highest avg deal ($44K) patterns become actionable.</w:t>
      </w:r>
    </w:p>
    <w:p>
      <w:pPr>
        <w:pStyle w:val="Heading2"/>
        <w:spacing w:after="140" w:before="280"/>
      </w:pPr>
      <w:r>
        <w:t xml:space="preserve">8.3 Phase 3 — Notifications &amp; self-service</w:t>
      </w:r>
    </w:p>
    <w:p>
      <w:pPr>
        <w:pStyle w:val="ListParagraph"/>
        <w:numPr>
          <w:ilvl w:val="0"/>
          <w:numId w:val="2"/>
        </w:numPr>
        <w:spacing w:after="40" w:before="40" w:line="300"/>
      </w:pPr>
      <w:r>
        <w:rPr>
          <w:sz w:val="22"/>
          <w:szCs w:val="22"/>
        </w:rPr>
        <w:t xml:space="preserve">SMS appointment confirmations and reminders via Twilio</w:t>
      </w:r>
    </w:p>
    <w:p>
      <w:pPr>
        <w:pStyle w:val="ListParagraph"/>
        <w:numPr>
          <w:ilvl w:val="0"/>
          <w:numId w:val="2"/>
        </w:numPr>
        <w:spacing w:after="40" w:before="40" w:line="300"/>
      </w:pPr>
      <w:r>
        <w:rPr>
          <w:sz w:val="22"/>
          <w:szCs w:val="22"/>
        </w:rPr>
        <w:t xml:space="preserve">Email templates for partner booking confirmations</w:t>
      </w:r>
    </w:p>
    <w:p>
      <w:pPr>
        <w:pStyle w:val="ListParagraph"/>
        <w:numPr>
          <w:ilvl w:val="0"/>
          <w:numId w:val="2"/>
        </w:numPr>
        <w:spacing w:after="40" w:before="40" w:line="300"/>
      </w:pPr>
      <w:r>
        <w:rPr>
          <w:sz w:val="22"/>
          <w:szCs w:val="22"/>
        </w:rPr>
        <w:t xml:space="preserve">Customer-facing reschedule/cancel flow with authentication token</w:t>
      </w:r>
    </w:p>
    <w:p>
      <w:pPr>
        <w:pStyle w:val="ListParagraph"/>
        <w:numPr>
          <w:ilvl w:val="0"/>
          <w:numId w:val="2"/>
        </w:numPr>
        <w:spacing w:after="40" w:before="40" w:line="300"/>
      </w:pPr>
      <w:r>
        <w:rPr>
          <w:sz w:val="22"/>
          <w:szCs w:val="22"/>
        </w:rPr>
        <w:t xml:space="preserve">Rep mobile view for day-of appointment management</w:t>
      </w:r>
    </w:p>
    <w:p>
      <w:pPr>
        <w:pStyle w:val="Heading2"/>
        <w:spacing w:after="140" w:before="280"/>
      </w:pPr>
      <w:r>
        <w:t xml:space="preserve">8.4 Phase 4 — Advanced features</w:t>
      </w:r>
    </w:p>
    <w:p>
      <w:pPr>
        <w:pStyle w:val="ListParagraph"/>
        <w:numPr>
          <w:ilvl w:val="0"/>
          <w:numId w:val="2"/>
        </w:numPr>
        <w:spacing w:after="40" w:before="40" w:line="300"/>
      </w:pPr>
      <w:r>
        <w:rPr>
          <w:sz w:val="22"/>
          <w:szCs w:val="22"/>
        </w:rPr>
        <w:t xml:space="preserve">Geographic route optimization (currently only alerts on clustering opportunities)</w:t>
      </w:r>
    </w:p>
    <w:p>
      <w:pPr>
        <w:pStyle w:val="ListParagraph"/>
        <w:numPr>
          <w:ilvl w:val="0"/>
          <w:numId w:val="2"/>
        </w:numPr>
        <w:spacing w:after="40" w:before="40" w:line="300"/>
      </w:pPr>
      <w:r>
        <w:rPr>
          <w:sz w:val="22"/>
          <w:szCs w:val="22"/>
        </w:rPr>
        <w:t xml:space="preserve">No-show / cancellation prediction by lead source and time of day</w:t>
      </w:r>
    </w:p>
    <w:p>
      <w:pPr>
        <w:pStyle w:val="ListParagraph"/>
        <w:numPr>
          <w:ilvl w:val="0"/>
          <w:numId w:val="2"/>
        </w:numPr>
        <w:spacing w:after="40" w:before="40" w:line="300"/>
      </w:pPr>
      <w:r>
        <w:rPr>
          <w:sz w:val="22"/>
          <w:szCs w:val="22"/>
        </w:rPr>
        <w:t xml:space="preserve">Dynamic slot pricing — prioritize high-sit-rate leads into premium time slots</w:t>
      </w:r>
    </w:p>
    <w:p>
      <w:pPr>
        <w:pStyle w:val="ListParagraph"/>
        <w:numPr>
          <w:ilvl w:val="0"/>
          <w:numId w:val="2"/>
        </w:numPr>
        <w:spacing w:after="40" w:before="40" w:line="300"/>
      </w:pPr>
      <w:r>
        <w:rPr>
          <w:sz w:val="22"/>
          <w:szCs w:val="22"/>
        </w:rPr>
        <w:t xml:space="preserve">Manager dashboards with rep utilization, territory heatmaps, and revenue forecasts</w:t>
      </w:r>
    </w:p>
    <w:p>
      <w:pPr>
        <w:pStyle w:val="ListParagraph"/>
        <w:numPr>
          <w:ilvl w:val="0"/>
          <w:numId w:val="2"/>
        </w:numPr>
        <w:spacing w:after="40" w:before="40" w:line="300"/>
      </w:pPr>
      <w:r>
        <w:rPr>
          <w:sz w:val="22"/>
          <w:szCs w:val="22"/>
        </w:rPr>
        <w:t xml:space="preserve">Automated Salesforce bidirectional sync for appointment status changes</w:t>
      </w:r>
    </w:p>
    <w:p>
      <w:pPr>
        <w:pStyle w:val="Heading2"/>
        <w:spacing w:after="140" w:before="280"/>
      </w:pPr>
      <w:r>
        <w:t xml:space="preserve">8.5 Outstanding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560"/>
      </w:tblGrid>
      <w:tr>
        <w:tc>
          <w:tcPr>
            <w:tcW w:type="dxa" w:w="3800"/>
            <w:tcBorders>
              <w:top w:val="single" w:color="D1D5DB" w:sz="4"/>
              <w:left w:val="single" w:color="D1D5DB" w:sz="4"/>
              <w:bottom w:val="single" w:color="D1D5DB" w:sz="4"/>
              <w:right w:val="single" w:color="D1D5DB" w:sz="4"/>
            </w:tcBorders>
            <w:shd w:fill="0A0D10" w:val="clear"/>
            <w:tcMar>
              <w:top w:type="dxa" w:w="100"/>
              <w:left w:type="dxa" w:w="140"/>
              <w:bottom w:type="dxa" w:w="100"/>
              <w:right w:type="dxa" w:w="140"/>
            </w:tcMar>
            <w:vAlign w:val="center"/>
          </w:tcPr>
          <w:p>
            <w:pPr>
              <w:jc w:val="left"/>
            </w:pPr>
            <w:r>
              <w:rPr>
                <w:b/>
                <w:bCs/>
                <w:color w:val="FFFFFF"/>
                <w:sz w:val="20"/>
                <w:szCs w:val="20"/>
              </w:rPr>
              <w:t xml:space="preserve">Item</w:t>
            </w:r>
          </w:p>
        </w:tc>
        <w:tc>
          <w:tcPr>
            <w:tcW w:type="dxa" w:w="2000"/>
            <w:tcBorders>
              <w:top w:val="single" w:color="D1D5DB" w:sz="4"/>
              <w:left w:val="single" w:color="D1D5DB" w:sz="4"/>
              <w:bottom w:val="single" w:color="D1D5DB" w:sz="4"/>
              <w:right w:val="single" w:color="D1D5DB" w:sz="4"/>
            </w:tcBorders>
            <w:shd w:fill="0A0D10" w:val="clear"/>
            <w:tcMar>
              <w:top w:type="dxa" w:w="100"/>
              <w:left w:type="dxa" w:w="140"/>
              <w:bottom w:type="dxa" w:w="100"/>
              <w:right w:type="dxa" w:w="140"/>
            </w:tcMar>
            <w:vAlign w:val="center"/>
          </w:tcPr>
          <w:p>
            <w:pPr>
              <w:jc w:val="left"/>
            </w:pPr>
            <w:r>
              <w:rPr>
                <w:b/>
                <w:bCs/>
                <w:color w:val="FFFFFF"/>
                <w:sz w:val="20"/>
                <w:szCs w:val="20"/>
              </w:rPr>
              <w:t xml:space="preserve">Owner</w:t>
            </w:r>
          </w:p>
        </w:tc>
        <w:tc>
          <w:tcPr>
            <w:tcW w:type="dxa" w:w="3560"/>
            <w:tcBorders>
              <w:top w:val="single" w:color="D1D5DB" w:sz="4"/>
              <w:left w:val="single" w:color="D1D5DB" w:sz="4"/>
              <w:bottom w:val="single" w:color="D1D5DB" w:sz="4"/>
              <w:right w:val="single" w:color="D1D5DB" w:sz="4"/>
            </w:tcBorders>
            <w:shd w:fill="0A0D10" w:val="clear"/>
            <w:tcMar>
              <w:top w:type="dxa" w:w="100"/>
              <w:left w:type="dxa" w:w="140"/>
              <w:bottom w:type="dxa" w:w="100"/>
              <w:right w:type="dxa" w:w="140"/>
            </w:tcMar>
            <w:vAlign w:val="center"/>
          </w:tcPr>
          <w:p>
            <w:pPr>
              <w:jc w:val="left"/>
            </w:pPr>
            <w:r>
              <w:rPr>
                <w:b/>
                <w:bCs/>
                <w:color w:val="FFFFFF"/>
                <w:sz w:val="20"/>
                <w:szCs w:val="20"/>
              </w:rPr>
              <w:t xml:space="preserve">Blocks</w:t>
            </w:r>
          </w:p>
        </w:tc>
      </w:tr>
      <w:tr>
        <w:tc>
          <w:tcPr>
            <w:tcW w:type="dxa" w:w="3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Individual appointment rows (SOQL Query 1)</w:t>
            </w:r>
          </w:p>
        </w:tc>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Adam</w:t>
            </w:r>
          </w:p>
        </w:tc>
        <w:tc>
          <w:tcPr>
            <w:tcW w:type="dxa" w:w="3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Rep-level predictive assignment</w:t>
            </w:r>
          </w:p>
        </w:tc>
      </w:tr>
      <w:tr>
        <w:tc>
          <w:tcPr>
            <w:tcW w:type="dxa" w:w="3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Lost-opportunity reasons (SOQL Query 2)</w:t>
            </w:r>
          </w:p>
        </w:tc>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Adam</w:t>
            </w:r>
          </w:p>
        </w:tc>
        <w:tc>
          <w:tcPr>
            <w:tcW w:type="dxa" w:w="3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Conversion diagnostics</w:t>
            </w:r>
          </w:p>
        </w:tc>
      </w:tr>
      <w:tr>
        <w:tc>
          <w:tcPr>
            <w:tcW w:type="dxa" w:w="3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Google OAuth client credentials</w:t>
            </w:r>
          </w:p>
        </w:tc>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Adam + IT</w:t>
            </w:r>
          </w:p>
        </w:tc>
        <w:tc>
          <w:tcPr>
            <w:tcW w:type="dxa" w:w="3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Live Calendar sync</w:t>
            </w:r>
          </w:p>
        </w:tc>
      </w:tr>
      <w:tr>
        <w:tc>
          <w:tcPr>
            <w:tcW w:type="dxa" w:w="3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Salesforce Connected App setup</w:t>
            </w:r>
          </w:p>
        </w:tc>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Adam + SF Admin</w:t>
            </w:r>
          </w:p>
        </w:tc>
        <w:tc>
          <w:tcPr>
            <w:tcW w:type="dxa" w:w="3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Live CRM sync</w:t>
            </w:r>
          </w:p>
        </w:tc>
      </w:tr>
      <w:tr>
        <w:tc>
          <w:tcPr>
            <w:tcW w:type="dxa" w:w="3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Custom field API names (confirmation)</w:t>
            </w:r>
          </w:p>
        </w:tc>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SF Admin</w:t>
            </w:r>
          </w:p>
        </w:tc>
        <w:tc>
          <w:tcPr>
            <w:tcW w:type="dxa" w:w="3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Field mapping in sync layer</w:t>
            </w:r>
          </w:p>
        </w:tc>
      </w:tr>
      <w:tr>
        <w:tc>
          <w:tcPr>
            <w:tcW w:type="dxa" w:w="3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SMS/Email provider selection</w:t>
            </w:r>
          </w:p>
        </w:tc>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Adam</w:t>
            </w:r>
          </w:p>
        </w:tc>
        <w:tc>
          <w:tcPr>
            <w:tcW w:type="dxa" w:w="3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Notifications phase</w:t>
            </w:r>
          </w:p>
        </w:tc>
      </w:tr>
      <w:tr>
        <w:tc>
          <w:tcPr>
            <w:tcW w:type="dxa" w:w="3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Partner API credentials (x5)</w:t>
            </w:r>
          </w:p>
        </w:tc>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Partners</w:t>
            </w:r>
          </w:p>
        </w:tc>
        <w:tc>
          <w:tcPr>
            <w:tcW w:type="dxa" w:w="3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b w:val="false"/>
                <w:bCs w:val="false"/>
                <w:sz w:val="20"/>
                <w:szCs w:val="20"/>
              </w:rPr>
              <w:t xml:space="preserve">Live partner booking</w:t>
            </w:r>
          </w:p>
        </w:tc>
      </w:tr>
    </w:tbl>
    <w:p>
      <w:r>
        <w:br w:type="page"/>
      </w:r>
    </w:p>
    <w:p>
      <w:pPr>
        <w:pStyle w:val="Heading1"/>
        <w:spacing w:after="180" w:before="360"/>
      </w:pPr>
      <w:r>
        <w:t xml:space="preserve">Appendix A — File Structure</w:t>
      </w:r>
    </w:p>
    <w:p>
      <w:pPr>
        <w:spacing w:after="80" w:before="80" w:line="300"/>
      </w:pPr>
      <w:r>
        <w:rPr>
          <w:sz w:val="22"/>
          <w:szCs w:val="22"/>
        </w:rPr>
        <w:t xml:space="preserve">The repository lives at ~/Downloads/venture-home-scheduler and has the following key files:</w:t>
      </w:r>
    </w:p>
    <w:p>
      <w:pPr>
        <w:shd w:fill="F3F4F6" w:val="clear"/>
        <w:spacing w:after="60" w:before="60"/>
      </w:pPr>
      <w:r>
        <w:rPr>
          <w:rFonts w:ascii="Courier New" w:cs="Courier New" w:eastAsia="Courier New" w:hAnsi="Courier New"/>
          <w:sz w:val="20"/>
          <w:szCs w:val="20"/>
        </w:rPr>
        <w:t xml:space="preserve">venture-home-scheduler/</w:t>
      </w:r>
    </w:p>
    <w:p>
      <w:pPr>
        <w:shd w:fill="F3F4F6" w:val="clear"/>
        <w:spacing w:after="60" w:before="60"/>
      </w:pPr>
      <w:r>
        <w:rPr>
          <w:rFonts w:ascii="Courier New" w:cs="Courier New" w:eastAsia="Courier New" w:hAnsi="Courier New"/>
          <w:sz w:val="20"/>
          <w:szCs w:val="20"/>
        </w:rPr>
        <w:t xml:space="preserve">├── src/</w:t>
      </w:r>
    </w:p>
    <w:p>
      <w:pPr>
        <w:shd w:fill="F3F4F6" w:val="clear"/>
        <w:spacing w:after="60" w:before="60"/>
      </w:pPr>
      <w:r>
        <w:rPr>
          <w:rFonts w:ascii="Courier New" w:cs="Courier New" w:eastAsia="Courier New" w:hAnsi="Courier New"/>
          <w:sz w:val="20"/>
          <w:szCs w:val="20"/>
        </w:rPr>
        <w:t xml:space="preserve">│   ├── App.jsx                          Main dashboard component</w:t>
      </w:r>
    </w:p>
    <w:p>
      <w:pPr>
        <w:shd w:fill="F3F4F6" w:val="clear"/>
        <w:spacing w:after="60" w:before="60"/>
      </w:pPr>
      <w:r>
        <w:rPr>
          <w:rFonts w:ascii="Courier New" w:cs="Courier New" w:eastAsia="Courier New" w:hAnsi="Courier New"/>
          <w:sz w:val="20"/>
          <w:szCs w:val="20"/>
        </w:rPr>
        <w:t xml:space="preserve">│   ├── main.jsx                         React entry point</w:t>
      </w:r>
    </w:p>
    <w:p>
      <w:pPr>
        <w:shd w:fill="F3F4F6" w:val="clear"/>
        <w:spacing w:after="60" w:before="60"/>
      </w:pPr>
      <w:r>
        <w:rPr>
          <w:rFonts w:ascii="Courier New" w:cs="Courier New" w:eastAsia="Courier New" w:hAnsi="Courier New"/>
          <w:sz w:val="20"/>
          <w:szCs w:val="20"/>
        </w:rPr>
        <w:t xml:space="preserve">│   ├── components/</w:t>
      </w:r>
    </w:p>
    <w:p>
      <w:pPr>
        <w:shd w:fill="F3F4F6" w:val="clear"/>
        <w:spacing w:after="60" w:before="60"/>
      </w:pPr>
      <w:r>
        <w:rPr>
          <w:rFonts w:ascii="Courier New" w:cs="Courier New" w:eastAsia="Courier New" w:hAnsi="Courier New"/>
          <w:sz w:val="20"/>
          <w:szCs w:val="20"/>
        </w:rPr>
        <w:t xml:space="preserve">│   │   ├── DayView.jsx                  Day-view calendar</w:t>
      </w:r>
    </w:p>
    <w:p>
      <w:pPr>
        <w:shd w:fill="F3F4F6" w:val="clear"/>
        <w:spacing w:after="60" w:before="60"/>
      </w:pPr>
      <w:r>
        <w:rPr>
          <w:rFonts w:ascii="Courier New" w:cs="Courier New" w:eastAsia="Courier New" w:hAnsi="Courier New"/>
          <w:sz w:val="20"/>
          <w:szCs w:val="20"/>
        </w:rPr>
        <w:t xml:space="preserve">│   │   ├── WeekView.jsx                 Week-view calendar</w:t>
      </w:r>
    </w:p>
    <w:p>
      <w:pPr>
        <w:shd w:fill="F3F4F6" w:val="clear"/>
        <w:spacing w:after="60" w:before="60"/>
      </w:pPr>
      <w:r>
        <w:rPr>
          <w:rFonts w:ascii="Courier New" w:cs="Courier New" w:eastAsia="Courier New" w:hAnsi="Courier New"/>
          <w:sz w:val="20"/>
          <w:szCs w:val="20"/>
        </w:rPr>
        <w:t xml:space="preserve">│   │   ├── CalendarNav.jsx              Date navigation</w:t>
      </w:r>
    </w:p>
    <w:p>
      <w:pPr>
        <w:shd w:fill="F3F4F6" w:val="clear"/>
        <w:spacing w:after="60" w:before="60"/>
      </w:pPr>
      <w:r>
        <w:rPr>
          <w:rFonts w:ascii="Courier New" w:cs="Courier New" w:eastAsia="Courier New" w:hAnsi="Courier New"/>
          <w:sz w:val="20"/>
          <w:szCs w:val="20"/>
        </w:rPr>
        <w:t xml:space="preserve">│   │   ├── TerritoryFilter.jsx          Territory toggle chips</w:t>
      </w:r>
    </w:p>
    <w:p>
      <w:pPr>
        <w:shd w:fill="F3F4F6" w:val="clear"/>
        <w:spacing w:after="60" w:before="60"/>
      </w:pPr>
      <w:r>
        <w:rPr>
          <w:rFonts w:ascii="Courier New" w:cs="Courier New" w:eastAsia="Courier New" w:hAnsi="Courier New"/>
          <w:sz w:val="20"/>
          <w:szCs w:val="20"/>
        </w:rPr>
        <w:t xml:space="preserve">│   │   ├── NewAppointmentModal.jsx      Smart schedule modal</w:t>
      </w:r>
    </w:p>
    <w:p>
      <w:pPr>
        <w:shd w:fill="F3F4F6" w:val="clear"/>
        <w:spacing w:after="60" w:before="60"/>
      </w:pPr>
      <w:r>
        <w:rPr>
          <w:rFonts w:ascii="Courier New" w:cs="Courier New" w:eastAsia="Courier New" w:hAnsi="Courier New"/>
          <w:sz w:val="20"/>
          <w:szCs w:val="20"/>
        </w:rPr>
        <w:t xml:space="preserve">│   │   ├── AppointmentDetail.jsx        Appointment detail drawer</w:t>
      </w:r>
    </w:p>
    <w:p>
      <w:pPr>
        <w:shd w:fill="F3F4F6" w:val="clear"/>
        <w:spacing w:after="60" w:before="60"/>
      </w:pPr>
      <w:r>
        <w:rPr>
          <w:rFonts w:ascii="Courier New" w:cs="Courier New" w:eastAsia="Courier New" w:hAnsi="Courier New"/>
          <w:sz w:val="20"/>
          <w:szCs w:val="20"/>
        </w:rPr>
        <w:t xml:space="preserve">│   │   ├── BookingPage.jsx              Partner booking public page</w:t>
      </w:r>
    </w:p>
    <w:p>
      <w:pPr>
        <w:shd w:fill="F3F4F6" w:val="clear"/>
        <w:spacing w:after="60" w:before="60"/>
      </w:pPr>
      <w:r>
        <w:rPr>
          <w:rFonts w:ascii="Courier New" w:cs="Courier New" w:eastAsia="Courier New" w:hAnsi="Courier New"/>
          <w:sz w:val="20"/>
          <w:szCs w:val="20"/>
        </w:rPr>
        <w:t xml:space="preserve">│   │   ├── PartnerLinks.jsx             Partner URL manager</w:t>
      </w:r>
    </w:p>
    <w:p>
      <w:pPr>
        <w:shd w:fill="F3F4F6" w:val="clear"/>
        <w:spacing w:after="60" w:before="60"/>
      </w:pPr>
      <w:r>
        <w:rPr>
          <w:rFonts w:ascii="Courier New" w:cs="Courier New" w:eastAsia="Courier New" w:hAnsi="Courier New"/>
          <w:sz w:val="20"/>
          <w:szCs w:val="20"/>
        </w:rPr>
        <w:t xml:space="preserve">│   │   └── ForecastPanel.jsx            Forecast sidebar (3 tabs)</w:t>
      </w:r>
    </w:p>
    <w:p>
      <w:pPr>
        <w:shd w:fill="F3F4F6" w:val="clear"/>
        <w:spacing w:after="60" w:before="60"/>
      </w:pPr>
      <w:r>
        <w:rPr>
          <w:rFonts w:ascii="Courier New" w:cs="Courier New" w:eastAsia="Courier New" w:hAnsi="Courier New"/>
          <w:sz w:val="20"/>
          <w:szCs w:val="20"/>
        </w:rPr>
        <w:t xml:space="preserve">│   ├── data/</w:t>
      </w:r>
    </w:p>
    <w:p>
      <w:pPr>
        <w:shd w:fill="F3F4F6" w:val="clear"/>
        <w:spacing w:after="60" w:before="60"/>
      </w:pPr>
      <w:r>
        <w:rPr>
          <w:rFonts w:ascii="Courier New" w:cs="Courier New" w:eastAsia="Courier New" w:hAnsi="Courier New"/>
          <w:sz w:val="20"/>
          <w:szCs w:val="20"/>
        </w:rPr>
        <w:t xml:space="preserve">│   │   ├── theme.js                     Colors, fonts, territories</w:t>
      </w:r>
    </w:p>
    <w:p>
      <w:pPr>
        <w:shd w:fill="F3F4F6" w:val="clear"/>
        <w:spacing w:after="60" w:before="60"/>
      </w:pPr>
      <w:r>
        <w:rPr>
          <w:rFonts w:ascii="Courier New" w:cs="Courier New" w:eastAsia="Courier New" w:hAnsi="Courier New"/>
          <w:sz w:val="20"/>
          <w:szCs w:val="20"/>
        </w:rPr>
        <w:t xml:space="preserve">│   │   ├── mockData.js                  Rep roster + mock appointments</w:t>
      </w:r>
    </w:p>
    <w:p>
      <w:pPr>
        <w:shd w:fill="F3F4F6" w:val="clear"/>
        <w:spacing w:after="60" w:before="60"/>
      </w:pPr>
      <w:r>
        <w:rPr>
          <w:rFonts w:ascii="Courier New" w:cs="Courier New" w:eastAsia="Courier New" w:hAnsi="Courier New"/>
          <w:sz w:val="20"/>
          <w:szCs w:val="20"/>
        </w:rPr>
        <w:t xml:space="preserve">│   │   ├── partners.js                  Partner definitions</w:t>
      </w:r>
    </w:p>
    <w:p>
      <w:pPr>
        <w:shd w:fill="F3F4F6" w:val="clear"/>
        <w:spacing w:after="60" w:before="60"/>
      </w:pPr>
      <w:r>
        <w:rPr>
          <w:rFonts w:ascii="Courier New" w:cs="Courier New" w:eastAsia="Courier New" w:hAnsi="Courier New"/>
          <w:sz w:val="20"/>
          <w:szCs w:val="20"/>
        </w:rPr>
        <w:t xml:space="preserve">│   │   ├── mockGoogleCalendar.js        Google Calendar API mock</w:t>
      </w:r>
    </w:p>
    <w:p>
      <w:pPr>
        <w:shd w:fill="F3F4F6" w:val="clear"/>
        <w:spacing w:after="60" w:before="60"/>
      </w:pPr>
      <w:r>
        <w:rPr>
          <w:rFonts w:ascii="Courier New" w:cs="Courier New" w:eastAsia="Courier New" w:hAnsi="Courier New"/>
          <w:sz w:val="20"/>
          <w:szCs w:val="20"/>
        </w:rPr>
        <w:t xml:space="preserve">│   │   ├── calendarService.js           Availability engine</w:t>
      </w:r>
    </w:p>
    <w:p>
      <w:pPr>
        <w:shd w:fill="F3F4F6" w:val="clear"/>
        <w:spacing w:after="60" w:before="60"/>
      </w:pPr>
      <w:r>
        <w:rPr>
          <w:rFonts w:ascii="Courier New" w:cs="Courier New" w:eastAsia="Courier New" w:hAnsi="Courier New"/>
          <w:sz w:val="20"/>
          <w:szCs w:val="20"/>
        </w:rPr>
        <w:t xml:space="preserve">│   │   └── forecastEngine.js            Predictive models</w:t>
      </w:r>
    </w:p>
    <w:p>
      <w:pPr>
        <w:shd w:fill="F3F4F6" w:val="clear"/>
        <w:spacing w:after="60" w:before="60"/>
      </w:pPr>
      <w:r>
        <w:rPr>
          <w:rFonts w:ascii="Courier New" w:cs="Courier New" w:eastAsia="Courier New" w:hAnsi="Courier New"/>
          <w:sz w:val="20"/>
          <w:szCs w:val="20"/>
        </w:rPr>
        <w:t xml:space="preserve">│   └── hooks/</w:t>
      </w:r>
    </w:p>
    <w:p>
      <w:pPr>
        <w:shd w:fill="F3F4F6" w:val="clear"/>
        <w:spacing w:after="60" w:before="60"/>
      </w:pPr>
      <w:r>
        <w:rPr>
          <w:rFonts w:ascii="Courier New" w:cs="Courier New" w:eastAsia="Courier New" w:hAnsi="Courier New"/>
          <w:sz w:val="20"/>
          <w:szCs w:val="20"/>
        </w:rPr>
        <w:t xml:space="preserve">│       └── useAvailability.js           React hooks for calendar data</w:t>
      </w:r>
    </w:p>
    <w:p>
      <w:pPr>
        <w:shd w:fill="F3F4F6" w:val="clear"/>
        <w:spacing w:after="60" w:before="60"/>
      </w:pPr>
      <w:r>
        <w:rPr>
          <w:rFonts w:ascii="Courier New" w:cs="Courier New" w:eastAsia="Courier New" w:hAnsi="Courier New"/>
          <w:sz w:val="20"/>
          <w:szCs w:val="20"/>
        </w:rPr>
        <w:t xml:space="preserve">├── server.js                            Express backend</w:t>
      </w:r>
    </w:p>
    <w:p>
      <w:pPr>
        <w:shd w:fill="F3F4F6" w:val="clear"/>
        <w:spacing w:after="60" w:before="60"/>
      </w:pPr>
      <w:r>
        <w:rPr>
          <w:rFonts w:ascii="Courier New" w:cs="Courier New" w:eastAsia="Courier New" w:hAnsi="Courier New"/>
          <w:sz w:val="20"/>
          <w:szCs w:val="20"/>
        </w:rPr>
        <w:t xml:space="preserve">├── Dockerfile                           Multi-stage production build</w:t>
      </w:r>
    </w:p>
    <w:p>
      <w:pPr>
        <w:shd w:fill="F3F4F6" w:val="clear"/>
        <w:spacing w:after="60" w:before="60"/>
      </w:pPr>
      <w:r>
        <w:rPr>
          <w:rFonts w:ascii="Courier New" w:cs="Courier New" w:eastAsia="Courier New" w:hAnsi="Courier New"/>
          <w:sz w:val="20"/>
          <w:szCs w:val="20"/>
        </w:rPr>
        <w:t xml:space="preserve">├── .dockerignore                        Docker build exclusions</w:t>
      </w:r>
    </w:p>
    <w:p>
      <w:pPr>
        <w:shd w:fill="F3F4F6" w:val="clear"/>
        <w:spacing w:after="60" w:before="60"/>
      </w:pPr>
      <w:r>
        <w:rPr>
          <w:rFonts w:ascii="Courier New" w:cs="Courier New" w:eastAsia="Courier New" w:hAnsi="Courier New"/>
          <w:sz w:val="20"/>
          <w:szCs w:val="20"/>
        </w:rPr>
        <w:t xml:space="preserve">├── .gcloudignore                        Cloud Build upload exclusions</w:t>
      </w:r>
    </w:p>
    <w:p>
      <w:pPr>
        <w:shd w:fill="F3F4F6" w:val="clear"/>
        <w:spacing w:after="60" w:before="60"/>
      </w:pPr>
      <w:r>
        <w:rPr>
          <w:rFonts w:ascii="Courier New" w:cs="Courier New" w:eastAsia="Courier New" w:hAnsi="Courier New"/>
          <w:sz w:val="20"/>
          <w:szCs w:val="20"/>
        </w:rPr>
        <w:t xml:space="preserve">├── .env.example                         Environment variable template</w:t>
      </w:r>
    </w:p>
    <w:p>
      <w:pPr>
        <w:shd w:fill="F3F4F6" w:val="clear"/>
        <w:spacing w:after="60" w:before="60"/>
      </w:pPr>
      <w:r>
        <w:rPr>
          <w:rFonts w:ascii="Courier New" w:cs="Courier New" w:eastAsia="Courier New" w:hAnsi="Courier New"/>
          <w:sz w:val="20"/>
          <w:szCs w:val="20"/>
        </w:rPr>
        <w:t xml:space="preserve">├── package.json                         Dependencies + scripts</w:t>
      </w:r>
    </w:p>
    <w:p>
      <w:pPr>
        <w:shd w:fill="F3F4F6" w:val="clear"/>
        <w:spacing w:after="60" w:before="60"/>
      </w:pPr>
      <w:r>
        <w:rPr>
          <w:rFonts w:ascii="Courier New" w:cs="Courier New" w:eastAsia="Courier New" w:hAnsi="Courier New"/>
          <w:sz w:val="20"/>
          <w:szCs w:val="20"/>
        </w:rPr>
        <w:t xml:space="preserve">├── vite.config.js                       Vite build config</w:t>
      </w:r>
    </w:p>
    <w:p>
      <w:pPr>
        <w:shd w:fill="F3F4F6" w:val="clear"/>
        <w:spacing w:after="60" w:before="60"/>
      </w:pPr>
      <w:r>
        <w:rPr>
          <w:rFonts w:ascii="Courier New" w:cs="Courier New" w:eastAsia="Courier New" w:hAnsi="Courier New"/>
          <w:sz w:val="20"/>
          <w:szCs w:val="20"/>
        </w:rPr>
        <w:t xml:space="preserve">├── index.html                           HTML shell</w:t>
      </w:r>
    </w:p>
    <w:p>
      <w:pPr>
        <w:shd w:fill="F3F4F6" w:val="clear"/>
        <w:spacing w:after="60" w:before="60"/>
      </w:pPr>
      <w:r>
        <w:rPr>
          <w:rFonts w:ascii="Courier New" w:cs="Courier New" w:eastAsia="Courier New" w:hAnsi="Courier New"/>
          <w:sz w:val="20"/>
          <w:szCs w:val="20"/>
        </w:rPr>
        <w:t xml:space="preserve">├── VH-Salesforce-Data-Spec.docx         SOQL query documentation</w:t>
      </w:r>
    </w:p>
    <w:p>
      <w:pPr>
        <w:shd w:fill="F3F4F6" w:val="clear"/>
        <w:spacing w:after="60" w:before="60"/>
      </w:pPr>
      <w:r>
        <w:rPr>
          <w:rFonts w:ascii="Courier New" w:cs="Courier New" w:eastAsia="Courier New" w:hAnsi="Courier New"/>
          <w:sz w:val="20"/>
          <w:szCs w:val="20"/>
        </w:rPr>
        <w:t xml:space="preserve">└── VH-Scheduler-Launch-Checklist.xlsx   Launch tracking</w:t>
      </w:r>
    </w:p>
    <w:p>
      <w:pPr>
        <w:pStyle w:val="Heading1"/>
        <w:spacing w:after="180" w:before="360"/>
      </w:pPr>
      <w:r>
        <w:t xml:space="preserve">Appendix B — Quick Commands</w:t>
      </w:r>
    </w:p>
    <w:p>
      <w:pPr>
        <w:pStyle w:val="Heading3"/>
        <w:spacing w:after="100" w:before="220"/>
      </w:pPr>
      <w:r>
        <w:t xml:space="preserve">Local development</w:t>
      </w:r>
    </w:p>
    <w:p>
      <w:pPr>
        <w:shd w:fill="F3F4F6" w:val="clear"/>
        <w:spacing w:after="60" w:before="60"/>
      </w:pPr>
      <w:r>
        <w:rPr>
          <w:rFonts w:ascii="Courier New" w:cs="Courier New" w:eastAsia="Courier New" w:hAnsi="Courier New"/>
          <w:sz w:val="20"/>
          <w:szCs w:val="20"/>
        </w:rPr>
        <w:t xml:space="preserve">npm install</w:t>
      </w:r>
    </w:p>
    <w:p>
      <w:pPr>
        <w:shd w:fill="F3F4F6" w:val="clear"/>
        <w:spacing w:after="60" w:before="60"/>
      </w:pPr>
      <w:r>
        <w:rPr>
          <w:rFonts w:ascii="Courier New" w:cs="Courier New" w:eastAsia="Courier New" w:hAnsi="Courier New"/>
          <w:sz w:val="20"/>
          <w:szCs w:val="20"/>
        </w:rPr>
        <w:t xml:space="preserve">npm run dev                    # Vite dev server on http://localhost:5173</w:t>
      </w:r>
    </w:p>
    <w:p>
      <w:pPr>
        <w:shd w:fill="F3F4F6" w:val="clear"/>
        <w:spacing w:after="60" w:before="60"/>
      </w:pPr>
      <w:r>
        <w:rPr>
          <w:rFonts w:ascii="Courier New" w:cs="Courier New" w:eastAsia="Courier New" w:hAnsi="Courier New"/>
          <w:sz w:val="20"/>
          <w:szCs w:val="20"/>
        </w:rPr>
        <w:t xml:space="preserve">node server.js                 # Express backend on :8080 (dev mode)</w:t>
      </w:r>
    </w:p>
    <w:p>
      <w:pPr>
        <w:pStyle w:val="Heading3"/>
        <w:spacing w:after="100" w:before="220"/>
      </w:pPr>
      <w:r>
        <w:t xml:space="preserve">Production build</w:t>
      </w:r>
    </w:p>
    <w:p>
      <w:pPr>
        <w:shd w:fill="F3F4F6" w:val="clear"/>
        <w:spacing w:after="60" w:before="60"/>
      </w:pPr>
      <w:r>
        <w:rPr>
          <w:rFonts w:ascii="Courier New" w:cs="Courier New" w:eastAsia="Courier New" w:hAnsi="Courier New"/>
          <w:sz w:val="20"/>
          <w:szCs w:val="20"/>
        </w:rPr>
        <w:t xml:space="preserve">npm run build                  # Outputs to dist/</w:t>
      </w:r>
    </w:p>
    <w:p>
      <w:pPr>
        <w:shd w:fill="F3F4F6" w:val="clear"/>
        <w:spacing w:after="60" w:before="60"/>
      </w:pPr>
      <w:r>
        <w:rPr>
          <w:rFonts w:ascii="Courier New" w:cs="Courier New" w:eastAsia="Courier New" w:hAnsi="Courier New"/>
          <w:sz w:val="20"/>
          <w:szCs w:val="20"/>
        </w:rPr>
        <w:t xml:space="preserve">NODE_ENV=production node server.js   # Serves dist + API on :8080</w:t>
      </w:r>
    </w:p>
    <w:p>
      <w:pPr>
        <w:pStyle w:val="Heading3"/>
        <w:spacing w:after="100" w:before="220"/>
      </w:pPr>
      <w:r>
        <w:t xml:space="preserve">Deploy</w:t>
      </w:r>
    </w:p>
    <w:p>
      <w:pPr>
        <w:shd w:fill="F3F4F6" w:val="clear"/>
        <w:spacing w:after="60" w:before="60"/>
      </w:pPr>
      <w:r>
        <w:rPr>
          <w:rFonts w:ascii="Courier New" w:cs="Courier New" w:eastAsia="Courier New" w:hAnsi="Courier New"/>
          <w:sz w:val="20"/>
          <w:szCs w:val="20"/>
        </w:rPr>
        <w:t xml:space="preserve">gcloud run deploy venture-home-scheduler --source . \</w:t>
      </w:r>
    </w:p>
    <w:p>
      <w:pPr>
        <w:shd w:fill="F3F4F6" w:val="clear"/>
        <w:spacing w:after="60" w:before="60"/>
      </w:pPr>
      <w:r>
        <w:rPr>
          <w:rFonts w:ascii="Courier New" w:cs="Courier New" w:eastAsia="Courier New" w:hAnsi="Courier New"/>
          <w:sz w:val="20"/>
          <w:szCs w:val="20"/>
        </w:rPr>
        <w:t xml:space="preserve">  --region us-east1 --allow-unauthenticated --port 8080 \</w:t>
      </w:r>
    </w:p>
    <w:p>
      <w:pPr>
        <w:shd w:fill="F3F4F6" w:val="clear"/>
        <w:spacing w:after="60" w:before="60"/>
      </w:pPr>
      <w:r>
        <w:rPr>
          <w:rFonts w:ascii="Courier New" w:cs="Courier New" w:eastAsia="Courier New" w:hAnsi="Courier New"/>
          <w:sz w:val="20"/>
          <w:szCs w:val="20"/>
        </w:rPr>
        <w:t xml:space="preserve">  --memory 512Mi --update-env-vars USE_MOCK=true,NODE_ENV=production</w:t>
      </w:r>
    </w:p>
    <w:p>
      <w:pPr>
        <w:pStyle w:val="Heading3"/>
        <w:spacing w:after="100" w:before="220"/>
      </w:pPr>
      <w:r>
        <w:t xml:space="preserve">Update env var without redeploying code</w:t>
      </w:r>
    </w:p>
    <w:p>
      <w:pPr>
        <w:shd w:fill="F3F4F6" w:val="clear"/>
        <w:spacing w:after="60" w:before="60"/>
      </w:pPr>
      <w:r>
        <w:rPr>
          <w:rFonts w:ascii="Courier New" w:cs="Courier New" w:eastAsia="Courier New" w:hAnsi="Courier New"/>
          <w:sz w:val="20"/>
          <w:szCs w:val="20"/>
        </w:rPr>
        <w:t xml:space="preserve">gcloud run services update venture-home-scheduler --region us-east1 \</w:t>
      </w:r>
    </w:p>
    <w:p>
      <w:pPr>
        <w:shd w:fill="F3F4F6" w:val="clear"/>
        <w:spacing w:after="60" w:before="60"/>
      </w:pPr>
      <w:r>
        <w:rPr>
          <w:rFonts w:ascii="Courier New" w:cs="Courier New" w:eastAsia="Courier New" w:hAnsi="Courier New"/>
          <w:sz w:val="20"/>
          <w:szCs w:val="20"/>
        </w:rPr>
        <w:t xml:space="preserve">  --update-env-vars USE_MOCK=false</w:t>
      </w:r>
    </w:p>
    <w:p>
      <w:pPr>
        <w:pStyle w:val="Heading3"/>
        <w:spacing w:after="100" w:before="220"/>
      </w:pPr>
      <w:r>
        <w:t xml:space="preserve">View logs</w:t>
      </w:r>
    </w:p>
    <w:p>
      <w:pPr>
        <w:shd w:fill="F3F4F6" w:val="clear"/>
        <w:spacing w:after="60" w:before="60"/>
      </w:pPr>
      <w:r>
        <w:rPr>
          <w:rFonts w:ascii="Courier New" w:cs="Courier New" w:eastAsia="Courier New" w:hAnsi="Courier New"/>
          <w:sz w:val="20"/>
          <w:szCs w:val="20"/>
        </w:rPr>
        <w:t xml:space="preserve">gcloud run services logs read venture-home-scheduler --region us-east1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B7280"/>
        <w:sz w:val="18"/>
        <w:szCs w:val="18"/>
      </w:rPr>
      <w:t xml:space="preserve">Confidential — Venture Home Solar</w:t>
    </w:r>
    <w:r>
      <w:rPr>
        <w:color w:val="6B7280"/>
        <w:sz w:val="18"/>
        <w:szCs w:val="18"/>
      </w:rPr>
      <w:t xml:space="preserve">	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B7280"/>
        <w:sz w:val="18"/>
        <w:szCs w:val="18"/>
      </w:rPr>
      <w:t xml:space="preserve">Venture Home Scheduler — Project Detail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0A830" w:sz="12" w:space="4"/>
      </w:pBdr>
      <w:spacing w:after="180" w:before="360"/>
      <w:outlineLvl w:val="0"/>
    </w:pPr>
    <w:rPr>
      <w:rFonts w:ascii="Calibri" w:cs="Calibri" w:eastAsia="Calibri" w:hAnsi="Calibri"/>
      <w:b/>
      <w:bCs/>
      <w:color w:val="F0A830"/>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0A0D10"/>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6B72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Venture Home Scheduler — Project Detail Document</dc:title>
  <dc:creator>Claude (Cowork)</dc:creator>
  <dc:description>Project detail doc covering architecture, workflows, tech stack, and roadmap.</dc:description>
  <cp:lastModifiedBy>Un-named</cp:lastModifiedBy>
  <cp:revision>1</cp:revision>
  <dcterms:created xsi:type="dcterms:W3CDTF">2026-04-14T20:00:11.790Z</dcterms:created>
  <dcterms:modified xsi:type="dcterms:W3CDTF">2026-04-14T20:00:11.791Z</dcterms:modified>
</cp:coreProperties>
</file>

<file path=docProps/custom.xml><?xml version="1.0" encoding="utf-8"?>
<Properties xmlns="http://schemas.openxmlformats.org/officeDocument/2006/custom-properties" xmlns:vt="http://schemas.openxmlformats.org/officeDocument/2006/docPropsVTypes"/>
</file>