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5F"/>
          <w:spacing w:val="30"/>
          <w:sz w:val="16"/>
          <w:szCs w:val="16"/>
        </w:rPr>
        <w:t xml:space="preserve">THE TOOLKIT  ·  NO. 00</w:t>
      </w:r>
    </w:p>
    <w:p>
      <w:pPr>
        <w:pBdr>
          <w:bottom w:val="single" w:color="1F3A5F" w:sz="12" w:space="6"/>
        </w:pBdr>
        <w:spacing w:after="80"/>
      </w:pPr>
      <w:r>
        <w:rPr>
          <w:rFonts w:ascii="Georgia" w:cs="Georgia" w:eastAsia="Georgia" w:hAnsi="Georgia"/>
          <w:b/>
          <w:bCs/>
          <w:sz w:val="48"/>
          <w:szCs w:val="48"/>
        </w:rPr>
        <w:t xml:space="preserve">Start Here</w:t>
      </w:r>
    </w:p>
    <w:p>
      <w:pPr>
        <w:spacing w:after="240"/>
      </w:pPr>
      <w:r>
        <w:rPr>
          <w:rFonts w:ascii="Georgia" w:cs="Georgia" w:eastAsia="Georgia" w:hAnsi="Georgia"/>
          <w:i/>
          <w:iCs/>
          <w:color w:val="595959"/>
          <w:sz w:val="19"/>
          <w:szCs w:val="19"/>
        </w:rPr>
        <w:t xml:space="preserve">The toolkit from Small Firm, Big Impact — 25 files, one purpose: save your energy for the work only you can do.</w:t>
      </w:r>
    </w:p>
    <w:p>
      <w:pPr>
        <w:spacing w:after="200" w:line="276"/>
      </w:pPr>
      <w:r>
        <w:rPr>
          <w:rFonts w:ascii="Georgia" w:cs="Georgia" w:eastAsia="Georgia" w:hAnsi="Georgia"/>
          <w:sz w:val="22"/>
          <w:szCs w:val="22"/>
        </w:rPr>
        <w:t xml:space="preserve">Every file is editable and yours to adapt. The templates are scaffolding for the judgment the book builds — a proposal template will not win you the work; understanding the client's real problem will, and then the template saves you an hour of formatting.</w:t>
      </w:r>
    </w:p>
    <w:p>
      <w:pPr>
        <w:keepNext/>
        <w:pBdr>
          <w:bottom w:val="single" w:color="D9D9D9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01</w:t>
      </w:r>
      <w:r>
        <w:rPr>
          <w:rFonts w:ascii="Arial" w:cs="Arial" w:eastAsia="Arial" w:hAnsi="Arial"/>
          <w:sz w:val="24"/>
          <w:szCs w:val="24"/>
        </w:rPr>
        <w:t xml:space="preserve">   </w:t>
      </w:r>
      <w:r>
        <w:rPr>
          <w:rFonts w:ascii="Arial" w:cs="Arial" w:eastAsia="Arial" w:hAnsi="Arial"/>
          <w:b/>
          <w:bCs/>
          <w:spacing w:val="20"/>
          <w:sz w:val="22"/>
          <w:szCs w:val="22"/>
        </w:rPr>
        <w:t xml:space="preserve">DOCUMENTS YOU SEND</w:t>
      </w:r>
    </w:p>
    <w:p>
      <w:pPr>
        <w:pBdr>
          <w:left w:val="single" w:color="D9D9D9" w:sz="12" w:space="8"/>
        </w:pBdr>
        <w:spacing w:after="140" w:line="264"/>
        <w:ind w:left="240"/>
      </w:pPr>
      <w:r>
        <w:rPr>
          <w:rFonts w:ascii="Arial" w:cs="Arial" w:eastAsia="Arial" w:hAnsi="Arial"/>
          <w:b/>
          <w:bCs/>
          <w:color w:val="A6A6A6"/>
          <w:spacing w:val="20"/>
          <w:sz w:val="15"/>
          <w:szCs w:val="15"/>
        </w:rPr>
        <w:t xml:space="preserve">GUIDE  </w:t>
      </w:r>
      <w:r>
        <w:rPr>
          <w:rFonts w:ascii="Georgia" w:cs="Georgia" w:eastAsia="Georgia" w:hAnsi="Georgia"/>
          <w:i/>
          <w:iCs/>
          <w:color w:val="595959"/>
          <w:sz w:val="19"/>
          <w:szCs w:val="19"/>
        </w:rPr>
        <w:t xml:space="preserve">Each opens with a cover sheet you delete; what remains carries your firm's name, not this book's.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60"/>
        <w:gridCol w:w="4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5"/>
                <w:sz w:val="17"/>
                <w:szCs w:val="17"/>
              </w:rPr>
              <w:t xml:space="preserve">NO.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5"/>
                <w:sz w:val="17"/>
                <w:szCs w:val="17"/>
              </w:rPr>
              <w:t xml:space="preserve">FILE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5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Consulting Proposal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 send-ready skeleton with the executive summary pre-written as fill-in sentences. Start here for any new pursuit.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Statement of Work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Makes the accepted proposal binding. The acceptance-criteria column is the clause people skip; don't.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Business Plan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The choosing document: niche, buyer, price, numbers — plus the annual diligence self-score.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Consulting Agreement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The legal frame, with the IP split that protects the firm. Lawyer review required.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Mutual NDA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Confidentiality in both directions. Lawyer review required.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Discovery Engagement Overview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The client-facing description of a paid discovery — the contained first engagement that lowers the risk of the first yes.</w:t>
            </w:r>
          </w:p>
        </w:tc>
      </w:tr>
    </w:tbl>
    <w:p>
      <w:pPr>
        <w:keepNext/>
        <w:pBdr>
          <w:bottom w:val="single" w:color="D9D9D9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02</w:t>
      </w:r>
      <w:r>
        <w:rPr>
          <w:rFonts w:ascii="Arial" w:cs="Arial" w:eastAsia="Arial" w:hAnsi="Arial"/>
          <w:sz w:val="24"/>
          <w:szCs w:val="24"/>
        </w:rPr>
        <w:t xml:space="preserve">   </w:t>
      </w:r>
      <w:r>
        <w:rPr>
          <w:rFonts w:ascii="Arial" w:cs="Arial" w:eastAsia="Arial" w:hAnsi="Arial"/>
          <w:b/>
          <w:bCs/>
          <w:spacing w:val="20"/>
          <w:sz w:val="22"/>
          <w:szCs w:val="22"/>
        </w:rPr>
        <w:t xml:space="preserve">WORKSHEETS YOU FILL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60"/>
        <w:gridCol w:w="4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5"/>
                <w:sz w:val="17"/>
                <w:szCs w:val="17"/>
              </w:rPr>
              <w:t xml:space="preserve">NO.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5"/>
                <w:sz w:val="17"/>
                <w:szCs w:val="17"/>
              </w:rPr>
              <w:t xml:space="preserve">FILE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5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Client Discovery Checklist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Everything to gather before you propose anything.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Project Health Check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Eight questions, weekly, green-yellow-red. The week-three save.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06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Client Feedback Survey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Six questions after every engagement, plus the one easy paragraph to forward.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07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PACE Planning Template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Primary, Alternate, Contingency, Emergency — decided before the crisis.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08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Personal Operating System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The life template: daily to annually, plus your board of advisors.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Messaging House Worksheet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Roof, columns, proof. Do not move on from a row you cannot prove.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GTM Motions Map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The same promise in what you sell, how you sell it, and how the market hears about you.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Flywheel Canvas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Map the wheel, find the slowest joint, fix that one thing.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Your Next 90 Days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Three tracks: starting from scratch, already running a firm, building alongside a day job.</w:t>
            </w:r>
          </w:p>
        </w:tc>
      </w:tr>
    </w:tbl>
    <w:p>
      <w:pPr>
        <w:keepNext/>
        <w:pBdr>
          <w:bottom w:val="single" w:color="D9D9D9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03</w:t>
      </w:r>
      <w:r>
        <w:rPr>
          <w:rFonts w:ascii="Arial" w:cs="Arial" w:eastAsia="Arial" w:hAnsi="Arial"/>
          <w:sz w:val="24"/>
          <w:szCs w:val="24"/>
        </w:rPr>
        <w:t xml:space="preserve">   </w:t>
      </w:r>
      <w:r>
        <w:rPr>
          <w:rFonts w:ascii="Arial" w:cs="Arial" w:eastAsia="Arial" w:hAnsi="Arial"/>
          <w:b/>
          <w:bCs/>
          <w:spacing w:val="20"/>
          <w:sz w:val="22"/>
          <w:szCs w:val="22"/>
        </w:rPr>
        <w:t xml:space="preserve">SPREADSHEETS YOU MAINTAIN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60"/>
        <w:gridCol w:w="4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5"/>
                <w:sz w:val="17"/>
                <w:szCs w:val="17"/>
              </w:rPr>
              <w:t xml:space="preserve">NO.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5"/>
                <w:sz w:val="17"/>
                <w:szCs w:val="17"/>
              </w:rPr>
              <w:t xml:space="preserve">FILE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5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Cash Flow Projection (XLSX)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Twelve months forward, runway calculated, concentration flagged. Update monthly.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09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Key Metrics Dashboard (XLSX)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Weekly, monthly, quarterly. Revenue is vanity, profit is sanity, cash is reality.</w:t>
            </w:r>
          </w:p>
        </w:tc>
      </w:tr>
    </w:tbl>
    <w:p>
      <w:pPr>
        <w:keepNext/>
        <w:pBdr>
          <w:bottom w:val="single" w:color="D9D9D9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04</w:t>
      </w:r>
      <w:r>
        <w:rPr>
          <w:rFonts w:ascii="Arial" w:cs="Arial" w:eastAsia="Arial" w:hAnsi="Arial"/>
          <w:sz w:val="24"/>
          <w:szCs w:val="24"/>
        </w:rPr>
        <w:t xml:space="preserve">   </w:t>
      </w:r>
      <w:r>
        <w:rPr>
          <w:rFonts w:ascii="Arial" w:cs="Arial" w:eastAsia="Arial" w:hAnsi="Arial"/>
          <w:b/>
          <w:bCs/>
          <w:spacing w:val="20"/>
          <w:sz w:val="22"/>
          <w:szCs w:val="22"/>
        </w:rPr>
        <w:t xml:space="preserve">WORKSHOPS YOU FACILITATE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60"/>
        <w:gridCol w:w="4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5"/>
                <w:sz w:val="17"/>
                <w:szCs w:val="17"/>
              </w:rPr>
              <w:t xml:space="preserve">NO.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5"/>
                <w:sz w:val="17"/>
                <w:szCs w:val="17"/>
              </w:rPr>
              <w:t xml:space="preserve">FILE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5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SWOT Analysis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The grid plus the part everyone skips: turning it into actions.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PESTEL Analysis Workshop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Half-day run-sheet for the external forces.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Five Forces Workshop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Full-day run-sheet for where the pressure on margins comes from.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Balanced Scorecard Workshop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Full-day run-sheet for measuring what matters.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Gap Analysis Workshop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Full-day run-sheet for the distance between here and the goal.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Risk Management Workshop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Two-day run-sheet, define through communicate. Pairs with no. 07.</w:t>
            </w:r>
          </w:p>
        </w:tc>
      </w:tr>
    </w:tbl>
    <w:p>
      <w:pPr>
        <w:keepNext/>
        <w:pBdr>
          <w:bottom w:val="single" w:color="D9D9D9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05</w:t>
      </w:r>
      <w:r>
        <w:rPr>
          <w:rFonts w:ascii="Arial" w:cs="Arial" w:eastAsia="Arial" w:hAnsi="Arial"/>
          <w:sz w:val="24"/>
          <w:szCs w:val="24"/>
        </w:rPr>
        <w:t xml:space="preserve">   </w:t>
      </w:r>
      <w:r>
        <w:rPr>
          <w:rFonts w:ascii="Arial" w:cs="Arial" w:eastAsia="Arial" w:hAnsi="Arial"/>
          <w:b/>
          <w:bCs/>
          <w:spacing w:val="20"/>
          <w:sz w:val="22"/>
          <w:szCs w:val="22"/>
        </w:rPr>
        <w:t xml:space="preserve">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60"/>
        <w:gridCol w:w="4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5"/>
                <w:sz w:val="17"/>
                <w:szCs w:val="17"/>
              </w:rPr>
              <w:t xml:space="preserve">NO.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5"/>
                <w:sz w:val="17"/>
                <w:szCs w:val="17"/>
              </w:rPr>
              <w:t xml:space="preserve">FILE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5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Recommended Reading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The books behind the book.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The Next Wave: Online Appendix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Chapter 14's market figures, dated and maintained as the estimates move.</w:t>
            </w:r>
          </w:p>
        </w:tc>
      </w:tr>
    </w:tbl>
    <w:p>
      <w:pPr>
        <w:pBdr>
          <w:top w:val="single" w:color="D9D9D9" w:sz="4" w:space="6"/>
        </w:pBdr>
        <w:spacing w:after="0" w:before="400"/>
      </w:pPr>
      <w:r>
        <w:rPr>
          <w:rFonts w:ascii="Georgia" w:cs="Georgia" w:eastAsia="Georgia" w:hAnsi="Georgia"/>
          <w:i/>
          <w:iCs/>
          <w:color w:val="595959"/>
          <w:sz w:val="19"/>
          <w:szCs w:val="19"/>
        </w:rPr>
        <w:t xml:space="preserve">Templates do not build businesses. People do. Use the tools to save time on the routine stuff, then invest that time in the work only you can do.</w:t>
      </w:r>
    </w:p>
    <w:sectPr>
      <w:headerReference w:type="default" r:id="rId7"/>
      <w:footerReference w:type="default" r:id="rId8"/>
      <w:pgSz w:w="12240" w:h="15840" w:orient="portrait"/>
      <w:pgMar w:top="1240" w:right="1440" w:bottom="12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026"/>
      </w:tabs>
    </w:pPr>
    <w:r>
      <w:rPr>
        <w:rFonts w:ascii="Arial" w:cs="Arial" w:eastAsia="Arial" w:hAnsi="Arial"/>
        <w:color w:val="A6A6A6"/>
        <w:sz w:val="15"/>
        <w:szCs w:val="15"/>
      </w:rPr>
      <w:t xml:space="preserve">From Small Firm, Big Impact by Adam Mattis  ·  v1.0 — June 2026</w:t>
    </w:r>
    <w:r>
      <w:rPr>
        <w:rFonts w:ascii="Arial" w:cs="Arial" w:eastAsia="Arial" w:hAnsi="Arial"/>
        <w:color w:val="A6A6A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595959"/>
        <w:spacing w:val="30"/>
        <w:sz w:val="15"/>
        <w:szCs w:val="15"/>
      </w:rPr>
      <w:t xml:space="preserve">SMALL FIRM, BIG IMPACT</w:t>
    </w:r>
    <w:r>
      <w:rPr>
        <w:rFonts w:ascii="Arial" w:cs="Arial" w:eastAsia="Arial" w:hAnsi="Arial"/>
        <w:color w:val="1F3A5F"/>
        <w:spacing w:val="30"/>
        <w:sz w:val="15"/>
        <w:szCs w:val="15"/>
      </w:rPr>
      <w:t xml:space="preserve">	58NIGHTS.COM/IMPACT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360"/>
      </w:pPr>
      <w:rPr>
        <w:rFonts w:ascii="Arial" w:cs="Arial" w:eastAsia="Arial" w:hAnsi="Arial"/>
        <w:color w:val="1F3A5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360"/>
      </w:pPr>
      <w:rPr>
        <w:rFonts w:ascii="Arial" w:cs="Arial" w:eastAsia="Arial" w:hAnsi="Arial"/>
        <w:color w:val="1F3A5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color w:val="1F3A5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 Here — Small Firm, Big Impact</dc:title>
  <dc:creator>Adam Mattis</dc:creator>
  <cp:lastModifiedBy>Un-named</cp:lastModifiedBy>
  <cp:revision>1</cp:revision>
  <dcterms:created xsi:type="dcterms:W3CDTF">2026-06-11T17:31:48.038Z</dcterms:created>
  <dcterms:modified xsi:type="dcterms:W3CDTF">2026-06-11T17:31:48.038Z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