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C0C8" w14:textId="7C09278D" w:rsidR="002F51E7" w:rsidRDefault="002F51E7">
      <w:r>
        <w:t>Designing the attractors and deflectors in the trajectory</w:t>
      </w:r>
    </w:p>
    <w:p w14:paraId="063F3FD7" w14:textId="4380D912" w:rsidR="002F51E7" w:rsidRDefault="002F51E7"/>
    <w:p w14:paraId="411469B2" w14:textId="16B13C0E" w:rsidR="002F51E7" w:rsidRDefault="00824A01">
      <w:r>
        <w:t>It is anticipated that game designers would have more freedom to create fun games if there was freedom to place attractors (gravity wells) or deflectors</w:t>
      </w:r>
      <w:r w:rsidR="00A837C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37C3" w14:paraId="27394A11" w14:textId="77777777" w:rsidTr="00A837C3">
        <w:tc>
          <w:tcPr>
            <w:tcW w:w="9016" w:type="dxa"/>
          </w:tcPr>
          <w:p w14:paraId="59A19761" w14:textId="4658DE24" w:rsidR="00A837C3" w:rsidRDefault="00A837C3" w:rsidP="00A837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4EDF72" wp14:editId="1EDF067C">
                  <wp:extent cx="4552950" cy="3248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7C3" w14:paraId="05893D16" w14:textId="77777777" w:rsidTr="00A837C3">
        <w:tc>
          <w:tcPr>
            <w:tcW w:w="9016" w:type="dxa"/>
          </w:tcPr>
          <w:p w14:paraId="5BDB423E" w14:textId="77777777" w:rsidR="00A837C3" w:rsidRDefault="00A837C3"/>
        </w:tc>
      </w:tr>
    </w:tbl>
    <w:p w14:paraId="740425DA" w14:textId="6D08965D" w:rsidR="00A837C3" w:rsidRDefault="00A837C3"/>
    <w:p w14:paraId="7D7D6D62" w14:textId="67B71E71" w:rsidR="00A837C3" w:rsidRDefault="00A837C3">
      <w:r>
        <w:t>The attractors/deflectors should alter the positionally linear trajectory. One way to achieve this mathematically is to apply a virtual admittance filter.</w:t>
      </w:r>
    </w:p>
    <w:p w14:paraId="098B0ABC" w14:textId="5E6F0538" w:rsidR="00824A01" w:rsidRDefault="00F01EF8">
      <w:r>
        <w:t xml:space="preserve">The first step is to generate a </w:t>
      </w:r>
      <w:r w:rsidR="0012682E">
        <w:t xml:space="preserve">virtual </w:t>
      </w:r>
      <w:r>
        <w:t>force</w:t>
      </w:r>
      <w:r w:rsidR="0012682E">
        <w:t xml:space="preserve"> on the end effector. This is best done as separate x and y components, since the unaffected trajectory is also generated as separate x and y components. A modified version of Hooke’s Law may be implemented for the attractor, whereby the force increases the closer the end effector gets to the attractor: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12682E" w14:paraId="497049B8" w14:textId="77777777" w:rsidTr="0012682E">
        <w:tc>
          <w:tcPr>
            <w:tcW w:w="7508" w:type="dxa"/>
          </w:tcPr>
          <w:p w14:paraId="6506EF8E" w14:textId="377076CD" w:rsidR="0012682E" w:rsidRDefault="0012682E">
            <m:oMathPara>
              <m:oMath>
                <m:r>
                  <w:rPr>
                    <w:rFonts w:ascii="Cambria Math" w:hAnsi="Cambria Math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508" w:type="dxa"/>
          </w:tcPr>
          <w:p w14:paraId="5620F553" w14:textId="77777777" w:rsidR="0012682E" w:rsidRDefault="0012682E"/>
        </w:tc>
      </w:tr>
    </w:tbl>
    <w:p w14:paraId="64283133" w14:textId="77777777" w:rsidR="0012682E" w:rsidRDefault="0012682E"/>
    <w:p w14:paraId="36337DBD" w14:textId="77777777" w:rsidR="00B83078" w:rsidRDefault="0012682E">
      <w:r>
        <w:t xml:space="preserve">Where in this case x represents the </w:t>
      </w:r>
      <w:r w:rsidR="00B83078">
        <w:t>component distance between from the end effector to the attractor: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078" w14:paraId="0DB25A8A" w14:textId="77777777" w:rsidTr="00B83078">
        <w:tc>
          <w:tcPr>
            <w:tcW w:w="9016" w:type="dxa"/>
          </w:tcPr>
          <w:p w14:paraId="54279600" w14:textId="1F53A430" w:rsidR="00B83078" w:rsidRDefault="00B83078" w:rsidP="00B8307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CE8ECA" wp14:editId="1D48D4EB">
                  <wp:extent cx="4524375" cy="3209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078" w14:paraId="000523C0" w14:textId="77777777" w:rsidTr="00B83078">
        <w:tc>
          <w:tcPr>
            <w:tcW w:w="9016" w:type="dxa"/>
          </w:tcPr>
          <w:p w14:paraId="0E482020" w14:textId="0A554563" w:rsidR="00B83078" w:rsidRDefault="00B83078">
            <w:r>
              <w:t xml:space="preserve">Positive dx, </w:t>
            </w:r>
            <w:proofErr w:type="spellStart"/>
            <w:r>
              <w:t>dy</w:t>
            </w:r>
            <w:proofErr w:type="spellEnd"/>
          </w:p>
        </w:tc>
      </w:tr>
    </w:tbl>
    <w:p w14:paraId="237C882F" w14:textId="2DAFF950" w:rsidR="00824A01" w:rsidRDefault="00B83078">
      <w:r>
        <w:t xml:space="preserve"> </w:t>
      </w:r>
    </w:p>
    <w:p w14:paraId="52FC471B" w14:textId="41045FF0" w:rsidR="00B83078" w:rsidRDefault="00B83078">
      <w:r>
        <w:t>Positive dx, 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078" w14:paraId="5D2C22EE" w14:textId="77777777" w:rsidTr="00F87F0F">
        <w:tc>
          <w:tcPr>
            <w:tcW w:w="9016" w:type="dxa"/>
          </w:tcPr>
          <w:p w14:paraId="2631BCFE" w14:textId="4B9A86C2" w:rsidR="00B83078" w:rsidRDefault="00B83078" w:rsidP="00F87F0F">
            <w:r>
              <w:rPr>
                <w:noProof/>
              </w:rPr>
              <w:drawing>
                <wp:inline distT="0" distB="0" distL="0" distR="0" wp14:anchorId="02308B8F" wp14:editId="1B66A094">
                  <wp:extent cx="4429125" cy="3238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078" w14:paraId="4BB78EA2" w14:textId="77777777" w:rsidTr="00F87F0F">
        <w:tc>
          <w:tcPr>
            <w:tcW w:w="9016" w:type="dxa"/>
          </w:tcPr>
          <w:p w14:paraId="0144E952" w14:textId="28B02C72" w:rsidR="00B83078" w:rsidRDefault="00B83078" w:rsidP="00F87F0F">
            <w:r>
              <w:t xml:space="preserve">Positive dx, </w:t>
            </w:r>
            <w:r>
              <w:t xml:space="preserve">Negative </w:t>
            </w:r>
            <w:r>
              <w:t>dy</w:t>
            </w:r>
          </w:p>
        </w:tc>
      </w:tr>
    </w:tbl>
    <w:p w14:paraId="786DC529" w14:textId="2CB9605E" w:rsidR="00B83078" w:rsidRDefault="00B83078"/>
    <w:p w14:paraId="5EB2B8D5" w14:textId="5583F9F5" w:rsidR="001D3C54" w:rsidRDefault="001D3C54">
      <w:r>
        <w:t>The admittance filter is shown by the following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1D3C54" w14:paraId="71CA65C6" w14:textId="77777777" w:rsidTr="00F87F0F">
        <w:tc>
          <w:tcPr>
            <w:tcW w:w="7225" w:type="dxa"/>
          </w:tcPr>
          <w:p w14:paraId="31D6E315" w14:textId="77777777" w:rsidR="001D3C54" w:rsidRPr="003B67C8" w:rsidRDefault="001D3C54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hd w:val="clear" w:color="auto" w:fill="FFFFFF"/>
                  </w:rPr>
                  <m:t xml:space="preserve">(t)=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91" w:type="dxa"/>
          </w:tcPr>
          <w:p w14:paraId="1BD2671C" w14:textId="77777777" w:rsidR="001D3C54" w:rsidRPr="003B67C8" w:rsidRDefault="001D3C54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</w:tbl>
    <w:p w14:paraId="0AD7E71D" w14:textId="17CA0972" w:rsidR="001D3C54" w:rsidRDefault="001D3C54"/>
    <w:p w14:paraId="3CD91FF3" w14:textId="416E7030" w:rsidR="001D3C54" w:rsidRDefault="001D3C54">
      <w:r>
        <w:t>Substitute the equation before and we get the simplified: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1D3C54" w14:paraId="6C2A421B" w14:textId="77777777" w:rsidTr="00F87F0F">
        <w:tc>
          <w:tcPr>
            <w:tcW w:w="7225" w:type="dxa"/>
          </w:tcPr>
          <w:p w14:paraId="6583CC26" w14:textId="6BEF7972" w:rsidR="001D3C54" w:rsidRPr="003B67C8" w:rsidRDefault="001D3C54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hd w:val="clear" w:color="auto" w:fill="FFFFFF"/>
                  </w:rPr>
                  <m:t xml:space="preserve">(t)=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91" w:type="dxa"/>
          </w:tcPr>
          <w:p w14:paraId="0C3BC611" w14:textId="77777777" w:rsidR="001D3C54" w:rsidRPr="003B67C8" w:rsidRDefault="001D3C54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</w:tbl>
    <w:p w14:paraId="44D2C95D" w14:textId="7AD5016E" w:rsidR="001D3C54" w:rsidRDefault="001D3C54"/>
    <w:p w14:paraId="58A4E12E" w14:textId="246A5E80" w:rsidR="001234B6" w:rsidRDefault="001234B6">
      <w:r>
        <w:t>We can evaluate the limits, to find out the maximum and minimum displacements: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1234B6" w14:paraId="2A9FEC5F" w14:textId="77777777" w:rsidTr="00F87F0F">
        <w:tc>
          <w:tcPr>
            <w:tcW w:w="7225" w:type="dxa"/>
          </w:tcPr>
          <w:p w14:paraId="7701DAD8" w14:textId="40F60384" w:rsidR="001234B6" w:rsidRPr="003B67C8" w:rsidRDefault="001234B6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791" w:type="dxa"/>
          </w:tcPr>
          <w:p w14:paraId="1D358E47" w14:textId="77777777" w:rsidR="001234B6" w:rsidRPr="003B67C8" w:rsidRDefault="001234B6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  <w:tr w:rsidR="001234B6" w14:paraId="0403EF11" w14:textId="77777777" w:rsidTr="001234B6">
        <w:tc>
          <w:tcPr>
            <w:tcW w:w="7225" w:type="dxa"/>
          </w:tcPr>
          <w:p w14:paraId="60736F3E" w14:textId="5C8E61B2" w:rsidR="001234B6" w:rsidRPr="003B67C8" w:rsidRDefault="001234B6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big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1791" w:type="dxa"/>
          </w:tcPr>
          <w:p w14:paraId="477F91AA" w14:textId="77777777" w:rsidR="001234B6" w:rsidRPr="003B67C8" w:rsidRDefault="001234B6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  <w:tr w:rsidR="001234B6" w:rsidRPr="003B67C8" w14:paraId="7B201E33" w14:textId="77777777" w:rsidTr="001234B6">
        <w:tc>
          <w:tcPr>
            <w:tcW w:w="7225" w:type="dxa"/>
          </w:tcPr>
          <w:p w14:paraId="340EAF10" w14:textId="6E58B7C1" w:rsidR="001234B6" w:rsidRPr="003B67C8" w:rsidRDefault="001234B6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small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91" w:type="dxa"/>
          </w:tcPr>
          <w:p w14:paraId="325ED50D" w14:textId="77777777" w:rsidR="001234B6" w:rsidRPr="003B67C8" w:rsidRDefault="001234B6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</w:tbl>
    <w:p w14:paraId="1FB828CC" w14:textId="621408F9" w:rsidR="001234B6" w:rsidRDefault="001234B6"/>
    <w:p w14:paraId="35A9263A" w14:textId="4C72D45A" w:rsidR="001234B6" w:rsidRDefault="001234B6">
      <w:proofErr w:type="gramStart"/>
      <w:r>
        <w:t>Thus</w:t>
      </w:r>
      <w:proofErr w:type="gramEnd"/>
      <w:r>
        <w:t xml:space="preserve"> maximum displacement is infinite: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1234B6" w14:paraId="6D6905DD" w14:textId="77777777" w:rsidTr="00F87F0F">
        <w:tc>
          <w:tcPr>
            <w:tcW w:w="7225" w:type="dxa"/>
          </w:tcPr>
          <w:p w14:paraId="5811E005" w14:textId="1EEB8682" w:rsidR="001234B6" w:rsidRPr="003B67C8" w:rsidRDefault="001234B6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91" w:type="dxa"/>
          </w:tcPr>
          <w:p w14:paraId="40CC01AC" w14:textId="77777777" w:rsidR="001234B6" w:rsidRPr="003B67C8" w:rsidRDefault="001234B6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</w:tbl>
    <w:p w14:paraId="14A9FB14" w14:textId="160BB621" w:rsidR="001234B6" w:rsidRDefault="001234B6"/>
    <w:p w14:paraId="4CEEDC68" w14:textId="034079E5" w:rsidR="001234B6" w:rsidRDefault="001234B6" w:rsidP="001234B6">
      <w:proofErr w:type="gramStart"/>
      <w:r>
        <w:t>Thus</w:t>
      </w:r>
      <w:proofErr w:type="gramEnd"/>
      <w:r>
        <w:t xml:space="preserve"> m</w:t>
      </w:r>
      <w:r>
        <w:t>ini</w:t>
      </w:r>
      <w:r>
        <w:t xml:space="preserve">mum displacement is </w:t>
      </w:r>
      <w:r>
        <w:t>zero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1234B6" w14:paraId="104226B4" w14:textId="77777777" w:rsidTr="00F87F0F">
        <w:tc>
          <w:tcPr>
            <w:tcW w:w="7225" w:type="dxa"/>
          </w:tcPr>
          <w:p w14:paraId="028A5AF3" w14:textId="0DB6BAC4" w:rsidR="001234B6" w:rsidRPr="003B67C8" w:rsidRDefault="001234B6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91" w:type="dxa"/>
          </w:tcPr>
          <w:p w14:paraId="10CFD59A" w14:textId="77777777" w:rsidR="001234B6" w:rsidRPr="003B67C8" w:rsidRDefault="001234B6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</w:tbl>
    <w:p w14:paraId="5A56BF1F" w14:textId="3627A6B4" w:rsidR="001234B6" w:rsidRDefault="001234B6"/>
    <w:p w14:paraId="2A331565" w14:textId="3D866CC8" w:rsidR="001234B6" w:rsidRDefault="001234B6">
      <w:r>
        <w:t xml:space="preserve">This doesn’t tell the full story however, because if we analyse the </w:t>
      </w:r>
      <w:proofErr w:type="gramStart"/>
      <w:r>
        <w:t>graph</w:t>
      </w:r>
      <w:proofErr w:type="gramEnd"/>
      <w:r>
        <w:t xml:space="preserve"> we can see that there is no noticeable displacement until we get closer than 1mm, and the effects before this are negligible:</w:t>
      </w:r>
    </w:p>
    <w:p w14:paraId="69080E6B" w14:textId="751E0FEF" w:rsidR="001234B6" w:rsidRDefault="00123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4B6" w14:paraId="091F1180" w14:textId="77777777" w:rsidTr="001234B6">
        <w:tc>
          <w:tcPr>
            <w:tcW w:w="9016" w:type="dxa"/>
          </w:tcPr>
          <w:p w14:paraId="7DA0490A" w14:textId="0E484608" w:rsidR="001234B6" w:rsidRDefault="001234B6" w:rsidP="001234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363BF" wp14:editId="4E064AC3">
                  <wp:extent cx="4610100" cy="2971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4B6" w14:paraId="7BE73E6A" w14:textId="77777777" w:rsidTr="001234B6">
        <w:tc>
          <w:tcPr>
            <w:tcW w:w="9016" w:type="dxa"/>
          </w:tcPr>
          <w:p w14:paraId="07EF2190" w14:textId="77777777" w:rsidR="001234B6" w:rsidRDefault="001234B6"/>
        </w:tc>
      </w:tr>
    </w:tbl>
    <w:p w14:paraId="1D5647B3" w14:textId="626EF367" w:rsidR="001234B6" w:rsidRDefault="001234B6"/>
    <w:p w14:paraId="557CAB15" w14:textId="5877183C" w:rsidR="001234B6" w:rsidRDefault="001234B6">
      <w:r>
        <w:t>We must design a better exponential curve.</w:t>
      </w:r>
      <w:r w:rsidR="008A4217">
        <w:t xml:space="preserve"> The ‘Knee’ of the curve, for lack of a better term, and start affecting place may be adjusted with the addition of 2 coefficients</w:t>
      </w:r>
      <w:r w:rsidR="007D6641">
        <w:t xml:space="preserve"> (and getting rid of t)</w:t>
      </w:r>
      <w:r w:rsidR="00AC0D2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C0D2F" w14:paraId="7F753A06" w14:textId="77777777" w:rsidTr="00F87F0F">
        <w:tc>
          <w:tcPr>
            <w:tcW w:w="7225" w:type="dxa"/>
          </w:tcPr>
          <w:p w14:paraId="2307205A" w14:textId="6BE98B23" w:rsidR="00AC0D2F" w:rsidRPr="003B67C8" w:rsidRDefault="00AC0D2F" w:rsidP="00F87F0F">
            <w:pPr>
              <w:spacing w:after="12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hd w:val="clear" w:color="auto" w:fill="FFFFFF"/>
                  </w:rPr>
                  <m:t xml:space="preserve">(t)=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791" w:type="dxa"/>
          </w:tcPr>
          <w:p w14:paraId="6370F509" w14:textId="77777777" w:rsidR="00AC0D2F" w:rsidRPr="003B67C8" w:rsidRDefault="00AC0D2F" w:rsidP="00F87F0F">
            <w:pPr>
              <w:spacing w:before="160"/>
              <w:jc w:val="right"/>
              <w:rPr>
                <w:color w:val="000000" w:themeColor="text1"/>
              </w:rPr>
            </w:pPr>
            <w:r w:rsidRPr="004B0E06">
              <w:rPr>
                <w:i/>
                <w:color w:val="002060"/>
                <w:highlight w:val="yellow"/>
              </w:rPr>
              <w:t>(3.</w:t>
            </w:r>
            <w:r>
              <w:rPr>
                <w:i/>
                <w:color w:val="002060"/>
                <w:highlight w:val="yellow"/>
              </w:rPr>
              <w:t>26</w:t>
            </w:r>
            <w:r w:rsidRPr="004B0E06">
              <w:rPr>
                <w:i/>
                <w:color w:val="002060"/>
                <w:highlight w:val="yellow"/>
              </w:rPr>
              <w:t>)</w:t>
            </w:r>
          </w:p>
        </w:tc>
      </w:tr>
    </w:tbl>
    <w:p w14:paraId="5D1C5574" w14:textId="2E1EAB04" w:rsidR="00AC0D2F" w:rsidRDefault="00AC0D2F"/>
    <w:p w14:paraId="699383AE" w14:textId="647956DE" w:rsidR="00AC0D2F" w:rsidRDefault="007D6641">
      <w:r>
        <w:t>With the following effects: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6641" w14:paraId="1681A84A" w14:textId="77777777" w:rsidTr="007D6641">
        <w:tc>
          <w:tcPr>
            <w:tcW w:w="9016" w:type="dxa"/>
          </w:tcPr>
          <w:p w14:paraId="3AE5A1EC" w14:textId="7D712433" w:rsidR="007D6641" w:rsidRDefault="007D6641">
            <w:r>
              <w:rPr>
                <w:noProof/>
              </w:rPr>
              <w:drawing>
                <wp:inline distT="0" distB="0" distL="0" distR="0" wp14:anchorId="7886C64A" wp14:editId="6571F832">
                  <wp:extent cx="5731510" cy="255397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41" w14:paraId="378D0539" w14:textId="77777777" w:rsidTr="007D6641">
        <w:tc>
          <w:tcPr>
            <w:tcW w:w="9016" w:type="dxa"/>
          </w:tcPr>
          <w:p w14:paraId="0721D24A" w14:textId="42B5ADCD" w:rsidR="007D6641" w:rsidRDefault="007D6641">
            <w:r>
              <w:t>Every coefficient at 1</w:t>
            </w:r>
          </w:p>
        </w:tc>
      </w:tr>
      <w:tr w:rsidR="007D6641" w14:paraId="3581182C" w14:textId="77777777" w:rsidTr="007D6641">
        <w:tc>
          <w:tcPr>
            <w:tcW w:w="9016" w:type="dxa"/>
          </w:tcPr>
          <w:p w14:paraId="4A5B8EC6" w14:textId="79F22418" w:rsidR="007D6641" w:rsidRDefault="007D6641" w:rsidP="00F87F0F">
            <w:r>
              <w:rPr>
                <w:noProof/>
              </w:rPr>
              <w:drawing>
                <wp:inline distT="0" distB="0" distL="0" distR="0" wp14:anchorId="595FA02F" wp14:editId="44910177">
                  <wp:extent cx="5731510" cy="2354580"/>
                  <wp:effectExtent l="0" t="0" r="254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41" w14:paraId="0D7AF0CD" w14:textId="77777777" w:rsidTr="007D6641">
        <w:tc>
          <w:tcPr>
            <w:tcW w:w="9016" w:type="dxa"/>
          </w:tcPr>
          <w:p w14:paraId="34892C72" w14:textId="68B695F1" w:rsidR="007D6641" w:rsidRDefault="007D6641" w:rsidP="00F87F0F">
            <w:r>
              <w:t>A=100</w:t>
            </w:r>
          </w:p>
        </w:tc>
      </w:tr>
      <w:tr w:rsidR="007D6641" w14:paraId="6D9507CA" w14:textId="77777777" w:rsidTr="007D6641">
        <w:tc>
          <w:tcPr>
            <w:tcW w:w="9016" w:type="dxa"/>
          </w:tcPr>
          <w:p w14:paraId="15FB87CA" w14:textId="04772F73" w:rsidR="007D6641" w:rsidRDefault="007D6641" w:rsidP="00F87F0F">
            <w:r>
              <w:rPr>
                <w:noProof/>
              </w:rPr>
              <w:drawing>
                <wp:inline distT="0" distB="0" distL="0" distR="0" wp14:anchorId="6B640ACB" wp14:editId="77FEFA8A">
                  <wp:extent cx="5731510" cy="2510155"/>
                  <wp:effectExtent l="0" t="0" r="254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1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41" w14:paraId="2E42B7FB" w14:textId="77777777" w:rsidTr="007D6641">
        <w:tc>
          <w:tcPr>
            <w:tcW w:w="9016" w:type="dxa"/>
          </w:tcPr>
          <w:p w14:paraId="0958C9CF" w14:textId="24E6694D" w:rsidR="007D6641" w:rsidRDefault="007D6641" w:rsidP="00F87F0F">
            <w:r>
              <w:lastRenderedPageBreak/>
              <w:t>A =100, r=1.5</w:t>
            </w:r>
          </w:p>
        </w:tc>
      </w:tr>
      <w:tr w:rsidR="007D6641" w14:paraId="166FC305" w14:textId="77777777" w:rsidTr="007D6641">
        <w:tc>
          <w:tcPr>
            <w:tcW w:w="9016" w:type="dxa"/>
          </w:tcPr>
          <w:p w14:paraId="5098F159" w14:textId="77777777" w:rsidR="007D6641" w:rsidRDefault="007D6641" w:rsidP="00F87F0F">
            <w:r>
              <w:rPr>
                <w:noProof/>
              </w:rPr>
              <w:drawing>
                <wp:inline distT="0" distB="0" distL="0" distR="0" wp14:anchorId="00CAC972" wp14:editId="7E9ECD96">
                  <wp:extent cx="5731510" cy="2354580"/>
                  <wp:effectExtent l="0" t="0" r="254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41" w14:paraId="0B81D3E5" w14:textId="77777777" w:rsidTr="007D6641">
        <w:tc>
          <w:tcPr>
            <w:tcW w:w="9016" w:type="dxa"/>
          </w:tcPr>
          <w:p w14:paraId="58994891" w14:textId="34C0B239" w:rsidR="007D6641" w:rsidRDefault="007D6641" w:rsidP="00F87F0F">
            <w:r>
              <w:t>A=100</w:t>
            </w:r>
            <w:r>
              <w:t>,k=10</w:t>
            </w:r>
          </w:p>
        </w:tc>
      </w:tr>
      <w:tr w:rsidR="003A3276" w14:paraId="4F284668" w14:textId="77777777" w:rsidTr="003A3276">
        <w:tc>
          <w:tcPr>
            <w:tcW w:w="9016" w:type="dxa"/>
          </w:tcPr>
          <w:p w14:paraId="73CE5F3B" w14:textId="3B5834CB" w:rsidR="003A3276" w:rsidRDefault="003A3276" w:rsidP="00F87F0F">
            <w:r>
              <w:rPr>
                <w:noProof/>
              </w:rPr>
              <w:drawing>
                <wp:inline distT="0" distB="0" distL="0" distR="0" wp14:anchorId="41EE2BD5" wp14:editId="69146D48">
                  <wp:extent cx="5731510" cy="259651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276" w14:paraId="47CA3F3F" w14:textId="77777777" w:rsidTr="003A3276">
        <w:tc>
          <w:tcPr>
            <w:tcW w:w="9016" w:type="dxa"/>
          </w:tcPr>
          <w:p w14:paraId="5721D3E1" w14:textId="239AEB72" w:rsidR="003A3276" w:rsidRDefault="003A3276" w:rsidP="00F87F0F">
            <w:r>
              <w:t>A=100,</w:t>
            </w:r>
            <w:r>
              <w:t>c</w:t>
            </w:r>
            <w:r>
              <w:t>=10</w:t>
            </w:r>
          </w:p>
        </w:tc>
      </w:tr>
    </w:tbl>
    <w:p w14:paraId="1E066781" w14:textId="737DBFEC" w:rsidR="007D6641" w:rsidRDefault="007D6641"/>
    <w:p w14:paraId="18168955" w14:textId="7BE0298A" w:rsidR="007D6641" w:rsidRDefault="007D6641">
      <w:r>
        <w:t>Play on Desmos to find out.</w:t>
      </w:r>
      <w:r w:rsidR="003A3276">
        <w:t xml:space="preserve"> </w:t>
      </w:r>
      <w:hyperlink r:id="rId12" w:history="1">
        <w:r w:rsidR="003A3276">
          <w:rPr>
            <w:rStyle w:val="Hyperlink"/>
          </w:rPr>
          <w:t>https://www.desmos.com/calculator</w:t>
        </w:r>
      </w:hyperlink>
    </w:p>
    <w:p w14:paraId="61A69F8C" w14:textId="5043A6FC" w:rsidR="003A3276" w:rsidRDefault="003A3276"/>
    <w:p w14:paraId="4E69E551" w14:textId="77777777" w:rsidR="003A3276" w:rsidRDefault="003A3276">
      <w:bookmarkStart w:id="0" w:name="_GoBack"/>
      <w:bookmarkEnd w:id="0"/>
    </w:p>
    <w:sectPr w:rsidR="003A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E7"/>
    <w:rsid w:val="001234B6"/>
    <w:rsid w:val="0012682E"/>
    <w:rsid w:val="001D3C54"/>
    <w:rsid w:val="002F51E7"/>
    <w:rsid w:val="00352049"/>
    <w:rsid w:val="003A3276"/>
    <w:rsid w:val="007D6641"/>
    <w:rsid w:val="00824A01"/>
    <w:rsid w:val="008A4217"/>
    <w:rsid w:val="00A837C3"/>
    <w:rsid w:val="00AC0D2F"/>
    <w:rsid w:val="00B83078"/>
    <w:rsid w:val="00F0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F769"/>
  <w15:chartTrackingRefBased/>
  <w15:docId w15:val="{88CEEDDF-1491-4247-91EC-657179E4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7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A3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desmos.com/calcul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3</cp:revision>
  <dcterms:created xsi:type="dcterms:W3CDTF">2019-09-04T10:29:00Z</dcterms:created>
  <dcterms:modified xsi:type="dcterms:W3CDTF">2019-09-04T15:42:00Z</dcterms:modified>
</cp:coreProperties>
</file>