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1C77" w14:textId="7B8A5F88" w:rsidR="00BC7692" w:rsidRPr="00BC7692" w:rsidRDefault="00BC7692">
      <w:pPr>
        <w:rPr>
          <w:i/>
          <w:color w:val="70AD47" w:themeColor="accent6"/>
        </w:rPr>
      </w:pPr>
      <w:r w:rsidRPr="00BC7692">
        <w:rPr>
          <w:i/>
          <w:color w:val="70AD47" w:themeColor="accent6"/>
        </w:rPr>
        <w:t>What is stroke</w:t>
      </w:r>
    </w:p>
    <w:p w14:paraId="763F739B" w14:textId="70AF6E07" w:rsidR="00B81F27" w:rsidRDefault="00B81F27">
      <w:r>
        <w:t xml:space="preserve">Stroke, </w:t>
      </w:r>
      <w:r w:rsidR="00C90199">
        <w:t xml:space="preserve">also known as </w:t>
      </w:r>
      <w:r>
        <w:t>Cerebrovascular Accident, is the leading cause of disability in the UK</w:t>
      </w:r>
      <w:r w:rsidR="0005487E">
        <w:t xml:space="preserve"> </w:t>
      </w:r>
      <w:r>
        <w:t xml:space="preserve">according to the </w:t>
      </w:r>
      <w:commentRangeStart w:id="0"/>
      <w:r w:rsidRPr="00F536B6">
        <w:rPr>
          <w:highlight w:val="yellow"/>
        </w:rPr>
        <w:t xml:space="preserve">Stroke Association </w:t>
      </w:r>
      <w:r w:rsidR="0034452D" w:rsidRPr="00F536B6">
        <w:rPr>
          <w:highlight w:val="yellow"/>
        </w:rPr>
        <w:t>(2018)</w:t>
      </w:r>
      <w:commentRangeEnd w:id="0"/>
      <w:r w:rsidR="002807E1">
        <w:rPr>
          <w:rStyle w:val="CommentReference"/>
        </w:rPr>
        <w:commentReference w:id="0"/>
      </w:r>
      <w:r w:rsidR="002807E1">
        <w:t>.</w:t>
      </w:r>
      <w:r w:rsidR="00256800">
        <w:t xml:space="preserve"> Stroke is classified by 2 mechanisms: </w:t>
      </w:r>
      <w:r w:rsidR="00256800">
        <w:t>Haemorrhagic Stroke</w:t>
      </w:r>
      <w:r w:rsidR="00256800">
        <w:t xml:space="preserve"> and </w:t>
      </w:r>
      <w:r w:rsidR="00256800">
        <w:t>Ischaemic Stroke</w:t>
      </w:r>
      <w:r>
        <w:t>.</w:t>
      </w:r>
      <w:r w:rsidR="00E86280">
        <w:t xml:space="preserve"> Haemorrhagic Stroke occur</w:t>
      </w:r>
      <w:r w:rsidR="00147D0D">
        <w:t>s</w:t>
      </w:r>
      <w:r w:rsidR="00E86280">
        <w:t xml:space="preserve"> when an artery in the brain ruptures, often as a result of high blood pressure</w:t>
      </w:r>
      <w:r w:rsidR="002F738F">
        <w:t xml:space="preserve">. </w:t>
      </w:r>
      <w:r w:rsidR="00632F0F">
        <w:t>Ischaemic Stroke occur</w:t>
      </w:r>
      <w:r w:rsidR="00147D0D">
        <w:t>s</w:t>
      </w:r>
      <w:r w:rsidR="00632F0F">
        <w:t xml:space="preserve"> due to </w:t>
      </w:r>
      <w:r w:rsidR="00A65D8B">
        <w:t>the</w:t>
      </w:r>
      <w:r w:rsidR="00632F0F">
        <w:t xml:space="preserve"> blockage of an artery in the brain, usually caused by a blood clot or fatty deposits.</w:t>
      </w:r>
      <w:r w:rsidR="008C70A2">
        <w:t xml:space="preserve"> Both mechanisms lead to cell damage or cell death in the affected region of the brain because of a lack of oxygen</w:t>
      </w:r>
      <w:r w:rsidR="00DF7E2E">
        <w:t xml:space="preserve"> (</w:t>
      </w:r>
      <w:r w:rsidR="00DF7E2E" w:rsidRPr="00DF7E2E">
        <w:rPr>
          <w:highlight w:val="yellow"/>
        </w:rPr>
        <w:t xml:space="preserve">Moskowitz et al, </w:t>
      </w:r>
      <w:commentRangeStart w:id="1"/>
      <w:r w:rsidR="00DF7E2E" w:rsidRPr="00DF7E2E">
        <w:rPr>
          <w:highlight w:val="yellow"/>
        </w:rPr>
        <w:t>2010</w:t>
      </w:r>
      <w:commentRangeEnd w:id="1"/>
      <w:r w:rsidR="00DF7E2E">
        <w:rPr>
          <w:rStyle w:val="CommentReference"/>
        </w:rPr>
        <w:commentReference w:id="1"/>
      </w:r>
      <w:r w:rsidR="00DF7E2E">
        <w:t>)</w:t>
      </w:r>
      <w:r w:rsidR="008C70A2">
        <w:t>.</w:t>
      </w:r>
    </w:p>
    <w:p w14:paraId="6C4FF0E1" w14:textId="62BD2AC9" w:rsidR="008C70A2" w:rsidRDefault="008C70A2">
      <w:r>
        <w:t>The symptoms of Stroke are wide ranging and dependant on which region of the brain has been affected.</w:t>
      </w:r>
      <w:r w:rsidR="00E10106">
        <w:t xml:space="preserve"> Different regions of the brain control different behaviour, as shown by </w:t>
      </w:r>
      <w:r w:rsidR="00E10106" w:rsidRPr="00E10106">
        <w:rPr>
          <w:highlight w:val="cyan"/>
        </w:rPr>
        <w:t>figure number</w:t>
      </w:r>
      <w:r w:rsidR="00E1010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106" w14:paraId="13ECB99D" w14:textId="77777777" w:rsidTr="00E10106">
        <w:tc>
          <w:tcPr>
            <w:tcW w:w="9016" w:type="dxa"/>
          </w:tcPr>
          <w:p w14:paraId="36F94584" w14:textId="542C888C" w:rsidR="00E10106" w:rsidRDefault="00E10106" w:rsidP="00E101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F5563" wp14:editId="52A6AF95">
                  <wp:extent cx="3057525" cy="323202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01" cy="324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106" w14:paraId="4A297150" w14:textId="77777777" w:rsidTr="00E10106">
        <w:tc>
          <w:tcPr>
            <w:tcW w:w="9016" w:type="dxa"/>
          </w:tcPr>
          <w:p w14:paraId="7B997BA5" w14:textId="77A835C6" w:rsidR="00E10106" w:rsidRDefault="00E10106" w:rsidP="00E10106">
            <w:pPr>
              <w:jc w:val="center"/>
            </w:pPr>
            <w:r w:rsidRPr="00E10106">
              <w:rPr>
                <w:highlight w:val="cyan"/>
              </w:rPr>
              <w:t>Figure number</w:t>
            </w:r>
            <w:r>
              <w:t xml:space="preserve">: Regions of the brain associated with behaviour </w:t>
            </w:r>
            <w:r w:rsidR="0047609C">
              <w:t>(</w:t>
            </w:r>
            <w:commentRangeStart w:id="2"/>
            <w:r w:rsidR="0047609C" w:rsidRPr="00F536B6">
              <w:rPr>
                <w:highlight w:val="yellow"/>
              </w:rPr>
              <w:t>Stroke Association</w:t>
            </w:r>
            <w:r w:rsidR="0047609C">
              <w:rPr>
                <w:highlight w:val="yellow"/>
              </w:rPr>
              <w:t>,</w:t>
            </w:r>
            <w:r w:rsidR="0047609C" w:rsidRPr="00F536B6">
              <w:rPr>
                <w:highlight w:val="yellow"/>
              </w:rPr>
              <w:t xml:space="preserve"> 2018)</w:t>
            </w:r>
            <w:commentRangeEnd w:id="2"/>
            <w:r w:rsidR="0047609C">
              <w:rPr>
                <w:rStyle w:val="CommentReference"/>
              </w:rPr>
              <w:commentReference w:id="2"/>
            </w:r>
          </w:p>
        </w:tc>
      </w:tr>
    </w:tbl>
    <w:p w14:paraId="0E1F4B0C" w14:textId="75B580C2" w:rsidR="00E10106" w:rsidRDefault="00E10106"/>
    <w:p w14:paraId="4F19862A" w14:textId="0690A1F2" w:rsidR="008B1D6C" w:rsidRDefault="008B1D6C">
      <w:r>
        <w:t xml:space="preserve">Common symptoms include </w:t>
      </w:r>
      <w:r w:rsidR="00D539A1">
        <w:t>motor impairment along one side of the body, impairment to speech, difficulties swallowing and impairment to memory.</w:t>
      </w:r>
      <w:r>
        <w:t xml:space="preserve"> </w:t>
      </w:r>
      <w:r w:rsidR="000517B1">
        <w:t>I</w:t>
      </w:r>
      <w:r>
        <w:t xml:space="preserve">t was found in a study by </w:t>
      </w:r>
      <w:r w:rsidR="00502103">
        <w:rPr>
          <w:highlight w:val="yellow"/>
        </w:rPr>
        <w:t>Sommerfeld</w:t>
      </w:r>
      <w:commentRangeStart w:id="3"/>
      <w:r w:rsidR="002F738F">
        <w:rPr>
          <w:highlight w:val="yellow"/>
        </w:rPr>
        <w:t xml:space="preserve"> </w:t>
      </w:r>
      <w:r w:rsidR="00374302">
        <w:rPr>
          <w:highlight w:val="yellow"/>
        </w:rPr>
        <w:t>e</w:t>
      </w:r>
      <w:r w:rsidR="002F738F">
        <w:rPr>
          <w:highlight w:val="yellow"/>
        </w:rPr>
        <w:t>t al</w:t>
      </w:r>
      <w:r w:rsidR="00374302">
        <w:rPr>
          <w:highlight w:val="yellow"/>
        </w:rPr>
        <w:t xml:space="preserve"> (</w:t>
      </w:r>
      <w:r w:rsidR="00A031D6">
        <w:rPr>
          <w:highlight w:val="yellow"/>
        </w:rPr>
        <w:t>2004</w:t>
      </w:r>
      <w:r w:rsidR="00374302">
        <w:rPr>
          <w:highlight w:val="yellow"/>
        </w:rPr>
        <w:t>)</w:t>
      </w:r>
      <w:commentRangeEnd w:id="3"/>
      <w:r w:rsidR="00A031D6">
        <w:rPr>
          <w:rStyle w:val="CommentReference"/>
        </w:rPr>
        <w:commentReference w:id="3"/>
      </w:r>
      <w:r>
        <w:t xml:space="preserve"> that up to 80% of </w:t>
      </w:r>
      <w:r w:rsidR="00BC7692">
        <w:t xml:space="preserve">stroke </w:t>
      </w:r>
      <w:r>
        <w:t>patients</w:t>
      </w:r>
      <w:r w:rsidR="000517B1">
        <w:t xml:space="preserve"> initially experience motor difficulties.</w:t>
      </w:r>
      <w:r w:rsidR="002F738F">
        <w:t xml:space="preserve">  </w:t>
      </w:r>
      <w:r w:rsidR="00A46FDE" w:rsidRPr="00A46FDE">
        <w:rPr>
          <w:highlight w:val="yellow"/>
        </w:rPr>
        <w:t xml:space="preserve">Van </w:t>
      </w:r>
      <w:proofErr w:type="spellStart"/>
      <w:r w:rsidR="00A46FDE" w:rsidRPr="00A46FDE">
        <w:rPr>
          <w:highlight w:val="yellow"/>
        </w:rPr>
        <w:t>Peppen</w:t>
      </w:r>
      <w:proofErr w:type="spellEnd"/>
      <w:r w:rsidR="00A46FDE" w:rsidRPr="00A46FDE">
        <w:rPr>
          <w:highlight w:val="yellow"/>
        </w:rPr>
        <w:t xml:space="preserve"> et al (</w:t>
      </w:r>
      <w:commentRangeStart w:id="4"/>
      <w:r w:rsidR="00A46FDE" w:rsidRPr="00A46FDE">
        <w:rPr>
          <w:highlight w:val="yellow"/>
        </w:rPr>
        <w:t>2004</w:t>
      </w:r>
      <w:commentRangeEnd w:id="4"/>
      <w:r w:rsidR="00A46FDE">
        <w:rPr>
          <w:rStyle w:val="CommentReference"/>
        </w:rPr>
        <w:commentReference w:id="4"/>
      </w:r>
      <w:r w:rsidR="00A46FDE">
        <w:t xml:space="preserve">) performed a systematic review which showed that </w:t>
      </w:r>
      <w:r w:rsidR="00684F14">
        <w:t>physical rehabilitation</w:t>
      </w:r>
      <w:r w:rsidR="00A46FDE">
        <w:t xml:space="preserve"> is</w:t>
      </w:r>
      <w:r w:rsidR="00684F14">
        <w:t xml:space="preserve"> more effective when performed intensively and early after Stroke.</w:t>
      </w:r>
    </w:p>
    <w:p w14:paraId="1225D091" w14:textId="62DDF616" w:rsidR="008C70A2" w:rsidRDefault="008C70A2"/>
    <w:p w14:paraId="331B2AE8" w14:textId="41037837" w:rsidR="00BC7692" w:rsidRPr="00BC7692" w:rsidRDefault="00BC7692" w:rsidP="00BC7692">
      <w:pPr>
        <w:rPr>
          <w:i/>
          <w:color w:val="70AD47" w:themeColor="accent6"/>
        </w:rPr>
      </w:pPr>
      <w:r>
        <w:rPr>
          <w:i/>
          <w:color w:val="70AD47" w:themeColor="accent6"/>
        </w:rPr>
        <w:t>How prevalent is stroke</w:t>
      </w:r>
    </w:p>
    <w:p w14:paraId="476B5685" w14:textId="75905045" w:rsidR="00632F0F" w:rsidRDefault="000F70C5">
      <w:r>
        <w:t xml:space="preserve">Stroke </w:t>
      </w:r>
      <w:r w:rsidR="00E92153">
        <w:t xml:space="preserve">can occur in people of any age, but it is shown by the </w:t>
      </w:r>
      <w:r w:rsidR="00E62BCC">
        <w:t>(</w:t>
      </w:r>
      <w:commentRangeStart w:id="5"/>
      <w:r w:rsidR="00E62BCC" w:rsidRPr="00F536B6">
        <w:rPr>
          <w:highlight w:val="yellow"/>
        </w:rPr>
        <w:t>Stroke Association</w:t>
      </w:r>
      <w:r w:rsidR="00E62BCC">
        <w:rPr>
          <w:highlight w:val="yellow"/>
        </w:rPr>
        <w:t>,</w:t>
      </w:r>
      <w:r w:rsidR="00E62BCC" w:rsidRPr="00F536B6">
        <w:rPr>
          <w:highlight w:val="yellow"/>
        </w:rPr>
        <w:t xml:space="preserve"> 2018)</w:t>
      </w:r>
      <w:commentRangeEnd w:id="5"/>
      <w:r w:rsidR="00E62BCC">
        <w:rPr>
          <w:rStyle w:val="CommentReference"/>
        </w:rPr>
        <w:commentReference w:id="5"/>
      </w:r>
      <w:r w:rsidR="00E62BCC">
        <w:rPr>
          <w:highlight w:val="yellow"/>
        </w:rPr>
        <w:t xml:space="preserve"> </w:t>
      </w:r>
      <w:r w:rsidR="00E92153">
        <w:t xml:space="preserve">that the likelihood of an individual having a Stroke increases with age. </w:t>
      </w:r>
      <w:commentRangeStart w:id="6"/>
      <w:r w:rsidR="00940E5D">
        <w:t xml:space="preserve">According to the </w:t>
      </w:r>
      <w:r w:rsidR="00940E5D" w:rsidRPr="00A55ABF">
        <w:rPr>
          <w:highlight w:val="yellow"/>
        </w:rPr>
        <w:t xml:space="preserve">Office of National Statistics </w:t>
      </w:r>
      <w:commentRangeEnd w:id="6"/>
      <w:r w:rsidR="00940E5D" w:rsidRPr="00A55ABF">
        <w:rPr>
          <w:rStyle w:val="CommentReference"/>
          <w:highlight w:val="yellow"/>
        </w:rPr>
        <w:commentReference w:id="6"/>
      </w:r>
      <w:r w:rsidR="00A55ABF" w:rsidRPr="00A55ABF">
        <w:rPr>
          <w:highlight w:val="yellow"/>
        </w:rPr>
        <w:t>(2018)</w:t>
      </w:r>
      <w:r w:rsidR="00940E5D">
        <w:t xml:space="preserve"> the population of the UK is aging, with 26.</w:t>
      </w:r>
      <w:r w:rsidR="006E6338">
        <w:t>5</w:t>
      </w:r>
      <w:r w:rsidR="00940E5D">
        <w:t>% of the population projected to be aged 65 or older by 2041</w:t>
      </w:r>
      <w:r w:rsidR="006E6338">
        <w:t xml:space="preserve">, as shown by </w:t>
      </w:r>
      <w:r w:rsidR="006E6338" w:rsidRPr="006E6338">
        <w:rPr>
          <w:highlight w:val="cyan"/>
        </w:rPr>
        <w:t>figure number</w:t>
      </w:r>
      <w:r w:rsidR="006E633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153" w14:paraId="65EE1977" w14:textId="77777777" w:rsidTr="00463529">
        <w:tc>
          <w:tcPr>
            <w:tcW w:w="9016" w:type="dxa"/>
          </w:tcPr>
          <w:p w14:paraId="484DA635" w14:textId="05851D67" w:rsidR="00E92153" w:rsidRDefault="006E6338" w:rsidP="0046352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EC5AF57" wp14:editId="60E47BEA">
                  <wp:extent cx="1952625" cy="1638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153" w14:paraId="004CD663" w14:textId="77777777" w:rsidTr="00463529">
        <w:tc>
          <w:tcPr>
            <w:tcW w:w="9016" w:type="dxa"/>
          </w:tcPr>
          <w:p w14:paraId="7A53EA34" w14:textId="31257B2F" w:rsidR="00E92153" w:rsidRDefault="00E92153" w:rsidP="00463529">
            <w:pPr>
              <w:jc w:val="center"/>
            </w:pPr>
            <w:r w:rsidRPr="00E10106">
              <w:rPr>
                <w:highlight w:val="cyan"/>
              </w:rPr>
              <w:t>Figure number</w:t>
            </w:r>
            <w:r>
              <w:t>: Aging population in the UK</w:t>
            </w:r>
          </w:p>
        </w:tc>
      </w:tr>
    </w:tbl>
    <w:p w14:paraId="6B8A8EC1" w14:textId="5DF91725" w:rsidR="008C70A2" w:rsidRDefault="006E6338">
      <w:r>
        <w:t>This means that it is reasonable to expect that the total number of Strokes will increase.</w:t>
      </w:r>
      <w:r w:rsidR="00256800">
        <w:t xml:space="preserve"> This will, of course, increase the demand upon the NHS and rehabilitation services.</w:t>
      </w:r>
    </w:p>
    <w:p w14:paraId="310479A8" w14:textId="13BBE552" w:rsidR="0020059A" w:rsidRDefault="0020059A"/>
    <w:p w14:paraId="2A59329D" w14:textId="7CE71C98" w:rsidR="0020059A" w:rsidRPr="00FF28E9" w:rsidRDefault="00FF28E9">
      <w:pPr>
        <w:rPr>
          <w:i/>
          <w:color w:val="70AD47" w:themeColor="accent6"/>
        </w:rPr>
      </w:pPr>
      <w:r w:rsidRPr="00FF28E9">
        <w:rPr>
          <w:i/>
          <w:color w:val="70AD47" w:themeColor="accent6"/>
        </w:rPr>
        <w:t>Rehabilitation after stroke</w:t>
      </w:r>
    </w:p>
    <w:p w14:paraId="41B211EC" w14:textId="2885445D" w:rsidR="0020059A" w:rsidRDefault="0020059A">
      <w:r>
        <w:t>Placeholder</w:t>
      </w:r>
    </w:p>
    <w:p w14:paraId="290A2A22" w14:textId="0B86C183" w:rsidR="008C2C42" w:rsidRDefault="008C2C42">
      <w:r>
        <w:t>Break from here</w:t>
      </w:r>
    </w:p>
    <w:p w14:paraId="4BBA847F" w14:textId="77777777" w:rsidR="008C2C42" w:rsidRDefault="008C2C42">
      <w:r>
        <w:br w:type="page"/>
      </w:r>
      <w:bookmarkStart w:id="7" w:name="_GoBack"/>
      <w:bookmarkEnd w:id="7"/>
    </w:p>
    <w:p w14:paraId="50AF3F59" w14:textId="69B71024" w:rsidR="004412AE" w:rsidRPr="007465B5" w:rsidRDefault="004412AE" w:rsidP="004412AE">
      <w:pPr>
        <w:rPr>
          <w:i/>
          <w:color w:val="70AD47" w:themeColor="accent6"/>
        </w:rPr>
      </w:pPr>
      <w:r>
        <w:rPr>
          <w:i/>
          <w:color w:val="70AD47" w:themeColor="accent6"/>
        </w:rPr>
        <w:lastRenderedPageBreak/>
        <w:t>High-level Control Strategy</w:t>
      </w:r>
    </w:p>
    <w:p w14:paraId="25CF4DC8" w14:textId="77777777" w:rsidR="004412AE" w:rsidRDefault="004412AE">
      <w:pPr>
        <w:rPr>
          <w:i/>
          <w:color w:val="70AD47" w:themeColor="accent6"/>
        </w:rPr>
      </w:pPr>
    </w:p>
    <w:p w14:paraId="01F28A46" w14:textId="77777777" w:rsidR="004412AE" w:rsidRDefault="004412AE">
      <w:pPr>
        <w:rPr>
          <w:i/>
          <w:color w:val="70AD47" w:themeColor="accent6"/>
        </w:rPr>
      </w:pPr>
    </w:p>
    <w:p w14:paraId="331D710D" w14:textId="1CE7C162" w:rsidR="0020059A" w:rsidRPr="007465B5" w:rsidRDefault="008C2C42">
      <w:pPr>
        <w:rPr>
          <w:i/>
          <w:color w:val="70AD47" w:themeColor="accent6"/>
        </w:rPr>
      </w:pPr>
      <w:r w:rsidRPr="007465B5">
        <w:rPr>
          <w:i/>
          <w:color w:val="70AD47" w:themeColor="accent6"/>
        </w:rPr>
        <w:t>Admittance and Impedance control</w:t>
      </w:r>
      <w:r w:rsidR="00CC43DE">
        <w:rPr>
          <w:i/>
          <w:color w:val="70AD47" w:themeColor="accent6"/>
        </w:rPr>
        <w:t xml:space="preserve"> – accounting for the effects of human-robot interaction.</w:t>
      </w:r>
    </w:p>
    <w:p w14:paraId="50CC3081" w14:textId="544A4146" w:rsidR="001C0F02" w:rsidRDefault="008C2C42">
      <w:r>
        <w:t>The case of a robot physiotherapy device interacting with a human patient should be considered as a coupled mechanical system [</w:t>
      </w:r>
      <w:r w:rsidRPr="005A6D49">
        <w:rPr>
          <w:highlight w:val="yellow"/>
        </w:rPr>
        <w:t>13</w:t>
      </w:r>
      <w:r>
        <w:t>]. This means that the use of</w:t>
      </w:r>
      <w:r w:rsidR="001C0F02">
        <w:t xml:space="preserve"> a</w:t>
      </w:r>
      <w:r>
        <w:t xml:space="preserve"> force control</w:t>
      </w:r>
      <w:r w:rsidR="001C0F02">
        <w:t xml:space="preserve"> strategy</w:t>
      </w:r>
      <w:r>
        <w:t xml:space="preserve"> or position control</w:t>
      </w:r>
      <w:r w:rsidR="001C0F02">
        <w:t xml:space="preserve"> strategy</w:t>
      </w:r>
      <w:r>
        <w:t xml:space="preserve"> </w:t>
      </w:r>
      <w:r w:rsidR="001C0F02">
        <w:t>is insufficient</w:t>
      </w:r>
      <w:r w:rsidR="007465B5">
        <w:t>,</w:t>
      </w:r>
      <w:r w:rsidR="001C0F02">
        <w:t xml:space="preserve"> since they not account for interaction forces</w:t>
      </w:r>
      <w:r w:rsidR="007465B5">
        <w:t xml:space="preserve"> with the patient and are thus inherently unsafe</w:t>
      </w:r>
      <w:r w:rsidR="001C0F02">
        <w:t xml:space="preserve">. In order to account for interaction forces, </w:t>
      </w:r>
      <w:proofErr w:type="gramStart"/>
      <w:r w:rsidR="001C0F02">
        <w:t>the majority of</w:t>
      </w:r>
      <w:proofErr w:type="gramEnd"/>
      <w:r w:rsidR="001C0F02">
        <w:t xml:space="preserve"> rehabilitation robotic devices use impedance or admittance control as the low-level control strategy.</w:t>
      </w:r>
      <w:r w:rsidR="007465B5">
        <w:t xml:space="preserve"> </w:t>
      </w:r>
      <w:r w:rsidR="0038750C">
        <w:t>Impedance and Admittance control</w:t>
      </w:r>
      <w:r w:rsidR="005A6D49">
        <w:t xml:space="preserve"> involve modulating the dynamic behaviour of the robot alongside position or force control, according to </w:t>
      </w:r>
      <w:r w:rsidR="005A6D49" w:rsidRPr="005A6D49">
        <w:rPr>
          <w:highlight w:val="yellow"/>
        </w:rPr>
        <w:t>Hogan [Impedance Control: An Approach to Manipulation parts 1-3</w:t>
      </w:r>
      <w:r w:rsidR="005A6D49">
        <w:t>].</w:t>
      </w:r>
    </w:p>
    <w:p w14:paraId="2B3981A7" w14:textId="3A791107" w:rsidR="009F1350" w:rsidRDefault="009F1350" w:rsidP="009F1350">
      <w:r>
        <w:t xml:space="preserve">It is generally agreed that </w:t>
      </w:r>
      <w:r w:rsidR="003A7D7D">
        <w:t>a</w:t>
      </w:r>
      <w:r>
        <w:t xml:space="preserve"> physical system which accepts force inputs and produces position outputs is defined as an admittance [</w:t>
      </w:r>
      <w:r w:rsidRPr="005A6D49">
        <w:rPr>
          <w:highlight w:val="yellow"/>
        </w:rPr>
        <w:t>35</w:t>
      </w:r>
      <w:r>
        <w:t>]</w:t>
      </w:r>
      <w:r w:rsidRPr="00CC43DE">
        <w:rPr>
          <w:highlight w:val="yellow"/>
        </w:rPr>
        <w:t xml:space="preserve"> </w:t>
      </w:r>
      <w:r w:rsidRPr="005A6D49">
        <w:rPr>
          <w:highlight w:val="yellow"/>
        </w:rPr>
        <w:t>[Impedance Control: An Approach to Manipulation parts 1-3</w:t>
      </w:r>
      <w:r>
        <w:t>]. Hogan further states that Mechanical Admittance can be loosely considered as a dynamic extension of compliance. A physical system which accepts position inputs and produces force outputs is defines as an impedance [</w:t>
      </w:r>
      <w:r w:rsidRPr="00CC43DE">
        <w:rPr>
          <w:highlight w:val="yellow"/>
        </w:rPr>
        <w:t>35</w:t>
      </w:r>
      <w:r>
        <w:t>]</w:t>
      </w:r>
      <w:r w:rsidRPr="00CC43DE">
        <w:rPr>
          <w:highlight w:val="yellow"/>
        </w:rPr>
        <w:t xml:space="preserve"> </w:t>
      </w:r>
      <w:r w:rsidRPr="005A6D49">
        <w:rPr>
          <w:highlight w:val="yellow"/>
        </w:rPr>
        <w:t>[Impedance Control: An Approach to Manipulation parts 1-3</w:t>
      </w:r>
      <w:r>
        <w:t>]. Hogan further states that Mechanical Admittance can be loosely considered as a dynamic extension of stiffness.</w:t>
      </w:r>
    </w:p>
    <w:p w14:paraId="4D6F11E4" w14:textId="6EC39816" w:rsidR="00D95DB6" w:rsidRDefault="00D95DB6">
      <w:r>
        <w:t>The end effector of a</w:t>
      </w:r>
      <w:r w:rsidR="009F1350">
        <w:t xml:space="preserve"> mechanically coupled </w:t>
      </w:r>
      <w:r>
        <w:t xml:space="preserve">robot is </w:t>
      </w:r>
      <w:r w:rsidR="009F1350">
        <w:t xml:space="preserve">subject to physical constraints, so it is either an admittance or an impedance. If the environment is an admittance, the end effector must be an impedance according to </w:t>
      </w:r>
      <w:r w:rsidR="009F1350" w:rsidRPr="005A6D49">
        <w:rPr>
          <w:highlight w:val="yellow"/>
        </w:rPr>
        <w:t>Hogan [Impedance Control</w:t>
      </w:r>
      <w:r w:rsidR="009F1350">
        <w:rPr>
          <w:highlight w:val="yellow"/>
        </w:rPr>
        <w:t xml:space="preserve"> of industrial robots</w:t>
      </w:r>
      <w:r w:rsidR="009F1350">
        <w:t>].</w:t>
      </w:r>
    </w:p>
    <w:p w14:paraId="25AAF95A" w14:textId="3F688CF5" w:rsidR="007465B5" w:rsidRDefault="007465B5">
      <w:pPr>
        <w:rPr>
          <w:i/>
          <w:color w:val="70AD47" w:themeColor="accent6"/>
        </w:rPr>
      </w:pPr>
      <w:r w:rsidRPr="007465B5">
        <w:rPr>
          <w:i/>
          <w:color w:val="70AD47" w:themeColor="accent6"/>
        </w:rPr>
        <w:t>What is Admittance Control</w:t>
      </w:r>
    </w:p>
    <w:p w14:paraId="41BBC644" w14:textId="7433AB7D" w:rsidR="00F55986" w:rsidRDefault="00B151F8" w:rsidP="00F55986">
      <w:r>
        <w:t xml:space="preserve">Admittance </w:t>
      </w:r>
      <w:r w:rsidR="00575482">
        <w:t xml:space="preserve">control is a strategy whereby the force exerted on the end effector is measured, and the robot provides the corresponding displacement </w:t>
      </w:r>
      <w:r>
        <w:t>[</w:t>
      </w:r>
      <w:r w:rsidRPr="00B151F8">
        <w:rPr>
          <w:highlight w:val="yellow"/>
        </w:rPr>
        <w:t>13</w:t>
      </w:r>
      <w:r>
        <w:t>].</w:t>
      </w:r>
      <w:r w:rsidR="00E701AC">
        <w:t xml:space="preserve"> According to Culmer et al [</w:t>
      </w:r>
      <w:r w:rsidR="00E701AC" w:rsidRPr="00E701AC">
        <w:rPr>
          <w:highlight w:val="yellow"/>
        </w:rPr>
        <w:t>20</w:t>
      </w:r>
      <w:r w:rsidR="00E701AC">
        <w:t>],</w:t>
      </w:r>
      <w:r w:rsidR="0054042F">
        <w:t xml:space="preserve"> it</w:t>
      </w:r>
      <w:r w:rsidR="00575482">
        <w:t xml:space="preserve"> is a common practice to define the relationship as a mass-spring-damper as shown by </w:t>
      </w:r>
      <w:r w:rsidR="00575482" w:rsidRPr="00575482">
        <w:rPr>
          <w:highlight w:val="cyan"/>
        </w:rPr>
        <w:t>equation number</w:t>
      </w:r>
      <w:r w:rsidR="005754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575482" w14:paraId="27DF6E43" w14:textId="77777777" w:rsidTr="00FD0384">
        <w:tc>
          <w:tcPr>
            <w:tcW w:w="7225" w:type="dxa"/>
          </w:tcPr>
          <w:p w14:paraId="7F1813E1" w14:textId="1C412B51" w:rsidR="00575482" w:rsidRDefault="007F5052" w:rsidP="00FD0384">
            <w:pPr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+cs+k</m:t>
                    </m:r>
                  </m:den>
                </m:f>
              </m:oMath>
            </m:oMathPara>
          </w:p>
        </w:tc>
        <w:tc>
          <w:tcPr>
            <w:tcW w:w="1791" w:type="dxa"/>
          </w:tcPr>
          <w:p w14:paraId="59BFA30F" w14:textId="35F98321" w:rsidR="00575482" w:rsidRDefault="00575482" w:rsidP="00FD0384">
            <w:pPr>
              <w:spacing w:before="80"/>
              <w:jc w:val="right"/>
            </w:pPr>
            <w:r w:rsidRPr="00575482">
              <w:rPr>
                <w:highlight w:val="cyan"/>
              </w:rPr>
              <w:t>Eqn number</w:t>
            </w:r>
          </w:p>
        </w:tc>
      </w:tr>
    </w:tbl>
    <w:p w14:paraId="0B6364A0" w14:textId="6D71145D" w:rsidR="00575482" w:rsidRDefault="00575482" w:rsidP="00F55986"/>
    <w:p w14:paraId="2627284D" w14:textId="1E2E6821" w:rsidR="00D72166" w:rsidRDefault="00D72166" w:rsidP="00F55986">
      <w:r>
        <w:t xml:space="preserve">Admittance Control is the </w:t>
      </w:r>
      <w:r w:rsidR="002F06F1">
        <w:t>low-level</w:t>
      </w:r>
      <w:r>
        <w:t xml:space="preserve"> design strategy implemented in </w:t>
      </w:r>
      <w:r w:rsidRPr="002F06F1">
        <w:rPr>
          <w:highlight w:val="cyan"/>
        </w:rPr>
        <w:t>LIST ROBOTS</w:t>
      </w:r>
      <w:r>
        <w:t>.</w:t>
      </w:r>
    </w:p>
    <w:p w14:paraId="0480268C" w14:textId="27DF057E" w:rsidR="007465B5" w:rsidRDefault="007465B5">
      <w:pPr>
        <w:rPr>
          <w:i/>
          <w:color w:val="70AD47" w:themeColor="accent6"/>
        </w:rPr>
      </w:pPr>
      <w:r w:rsidRPr="007465B5">
        <w:rPr>
          <w:i/>
          <w:color w:val="70AD47" w:themeColor="accent6"/>
        </w:rPr>
        <w:t>What is Impedance Control</w:t>
      </w:r>
    </w:p>
    <w:p w14:paraId="7F7BC9D0" w14:textId="4AD04BC8" w:rsidR="00575482" w:rsidRDefault="003A7D7D" w:rsidP="00575482">
      <w:r>
        <w:t>Impedance</w:t>
      </w:r>
      <w:r w:rsidR="00802DFE">
        <w:t xml:space="preserve"> control</w:t>
      </w:r>
      <w:r>
        <w:t xml:space="preserve"> </w:t>
      </w:r>
      <w:r w:rsidR="00575482">
        <w:t xml:space="preserve">is a strategy whereby the motion of the end effector is measured, and the robot provides the corresponding force-feedback </w:t>
      </w:r>
      <w:r>
        <w:t>[</w:t>
      </w:r>
      <w:r w:rsidRPr="00B151F8">
        <w:rPr>
          <w:highlight w:val="yellow"/>
        </w:rPr>
        <w:t>13</w:t>
      </w:r>
      <w:r>
        <w:t>].</w:t>
      </w:r>
      <w:r w:rsidR="00575482">
        <w:t xml:space="preserve"> As with Admittance control, according to Culmer et al [</w:t>
      </w:r>
      <w:r w:rsidR="00575482" w:rsidRPr="00E701AC">
        <w:rPr>
          <w:highlight w:val="yellow"/>
        </w:rPr>
        <w:t>20</w:t>
      </w:r>
      <w:r w:rsidR="00575482">
        <w:t xml:space="preserve">], it is a common practice to define the relationship as a mass-spring-damper as shown by </w:t>
      </w:r>
      <w:r w:rsidR="00575482" w:rsidRPr="00575482">
        <w:rPr>
          <w:highlight w:val="cyan"/>
        </w:rPr>
        <w:t>equation number</w:t>
      </w:r>
      <w:r w:rsidR="005754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575482" w14:paraId="1C5C2B0F" w14:textId="77777777" w:rsidTr="00FD0384">
        <w:tc>
          <w:tcPr>
            <w:tcW w:w="7225" w:type="dxa"/>
          </w:tcPr>
          <w:p w14:paraId="4AFA39FB" w14:textId="47C1DD2C" w:rsidR="00575482" w:rsidRDefault="007F5052" w:rsidP="00FD0384">
            <w:pPr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+cs+k</m:t>
                    </m:r>
                  </m:e>
                </m:d>
              </m:oMath>
            </m:oMathPara>
          </w:p>
        </w:tc>
        <w:tc>
          <w:tcPr>
            <w:tcW w:w="1791" w:type="dxa"/>
          </w:tcPr>
          <w:p w14:paraId="7C8F311D" w14:textId="77777777" w:rsidR="00575482" w:rsidRDefault="00575482" w:rsidP="00FD0384">
            <w:pPr>
              <w:spacing w:before="80"/>
              <w:jc w:val="right"/>
            </w:pPr>
            <w:r w:rsidRPr="00575482">
              <w:rPr>
                <w:highlight w:val="cyan"/>
              </w:rPr>
              <w:t>Eqn number</w:t>
            </w:r>
          </w:p>
        </w:tc>
      </w:tr>
    </w:tbl>
    <w:p w14:paraId="07049476" w14:textId="2AB381CB" w:rsidR="003A7D7D" w:rsidRDefault="003A7D7D" w:rsidP="003A7D7D"/>
    <w:p w14:paraId="2F55880C" w14:textId="5D5E6992" w:rsidR="002F06F1" w:rsidRDefault="002F06F1" w:rsidP="002F06F1">
      <w:r>
        <w:t xml:space="preserve">Impedance Control is the low-level design strategy implemented in </w:t>
      </w:r>
      <w:r w:rsidRPr="002F06F1">
        <w:rPr>
          <w:highlight w:val="cyan"/>
        </w:rPr>
        <w:t>LIST ROBOTS</w:t>
      </w:r>
      <w:r>
        <w:t>.</w:t>
      </w:r>
    </w:p>
    <w:p w14:paraId="498F0C34" w14:textId="5EB03D5F" w:rsidR="007465B5" w:rsidRPr="007465B5" w:rsidRDefault="007465B5">
      <w:pPr>
        <w:rPr>
          <w:i/>
          <w:color w:val="70AD47" w:themeColor="accent6"/>
        </w:rPr>
      </w:pPr>
      <w:r w:rsidRPr="007465B5">
        <w:rPr>
          <w:i/>
          <w:color w:val="70AD47" w:themeColor="accent6"/>
        </w:rPr>
        <w:t>A comparison of use cases</w:t>
      </w:r>
    </w:p>
    <w:p w14:paraId="2A2F5DC6" w14:textId="1784CCAF" w:rsidR="007465B5" w:rsidRDefault="0026026B">
      <w:r>
        <w:lastRenderedPageBreak/>
        <w:t xml:space="preserve">It is agreed by </w:t>
      </w:r>
      <w:r w:rsidRPr="0026026B">
        <w:rPr>
          <w:highlight w:val="cyan"/>
        </w:rPr>
        <w:t>A LOT OF PEOPLE [</w:t>
      </w:r>
      <w:r w:rsidRPr="000637B3">
        <w:rPr>
          <w:highlight w:val="yellow"/>
        </w:rPr>
        <w:t>13</w:t>
      </w:r>
      <w:r>
        <w:t>] that the advantages and disadvantages of Impedance and Admittance control systems are opposite, which makes sense considering that the definition of a mechanical Impedance is opposite</w:t>
      </w:r>
      <w:r w:rsidR="004412AE">
        <w:t xml:space="preserve"> to the definition of a mechanical Admittance</w:t>
      </w:r>
      <w:r>
        <w:t>.</w:t>
      </w:r>
    </w:p>
    <w:p w14:paraId="5CAD1CAE" w14:textId="78322782" w:rsidR="0034452D" w:rsidRDefault="0034452D"/>
    <w:p w14:paraId="362DD14D" w14:textId="77777777" w:rsidR="0034452D" w:rsidRDefault="0034452D">
      <w:r>
        <w:br w:type="page"/>
      </w:r>
    </w:p>
    <w:p w14:paraId="3722A06F" w14:textId="16C34D38" w:rsidR="0034452D" w:rsidRDefault="0034452D">
      <w:r>
        <w:lastRenderedPageBreak/>
        <w:t>References</w:t>
      </w:r>
    </w:p>
    <w:p w14:paraId="00F7D49E" w14:textId="77777777" w:rsidR="00B736C1" w:rsidRDefault="00B736C1" w:rsidP="00DF7E2E">
      <w:pPr>
        <w:pStyle w:val="ListParagraph"/>
      </w:pPr>
    </w:p>
    <w:p w14:paraId="3EA45B82" w14:textId="248F1C1A" w:rsidR="00B736C1" w:rsidRPr="00B736C1" w:rsidRDefault="00B736C1" w:rsidP="00DF7E2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DF7E2E">
        <w:rPr>
          <w:rFonts w:cstheme="minorHAnsi"/>
          <w:color w:val="000000" w:themeColor="text1"/>
          <w:shd w:val="clear" w:color="auto" w:fill="FFFFFF"/>
        </w:rPr>
        <w:t xml:space="preserve">Moskowitz, M.A., Lo, E.H. and </w:t>
      </w:r>
      <w:proofErr w:type="spellStart"/>
      <w:r w:rsidRPr="00DF7E2E">
        <w:rPr>
          <w:rFonts w:cstheme="minorHAnsi"/>
          <w:color w:val="000000" w:themeColor="text1"/>
          <w:shd w:val="clear" w:color="auto" w:fill="FFFFFF"/>
        </w:rPr>
        <w:t>Iadecola</w:t>
      </w:r>
      <w:proofErr w:type="spellEnd"/>
      <w:r w:rsidRPr="00DF7E2E">
        <w:rPr>
          <w:rFonts w:cstheme="minorHAnsi"/>
          <w:color w:val="000000" w:themeColor="text1"/>
          <w:shd w:val="clear" w:color="auto" w:fill="FFFFFF"/>
        </w:rPr>
        <w:t>, C., 2010. The science of stroke: mechanisms in search of treatments. </w:t>
      </w:r>
      <w:r w:rsidRPr="00DF7E2E">
        <w:rPr>
          <w:rFonts w:cstheme="minorHAnsi"/>
          <w:i/>
          <w:iCs/>
          <w:color w:val="000000" w:themeColor="text1"/>
          <w:shd w:val="clear" w:color="auto" w:fill="FFFFFF"/>
        </w:rPr>
        <w:t>Neuron</w:t>
      </w:r>
      <w:r w:rsidRPr="00DF7E2E">
        <w:rPr>
          <w:rFonts w:cstheme="minorHAnsi"/>
          <w:color w:val="000000" w:themeColor="text1"/>
          <w:shd w:val="clear" w:color="auto" w:fill="FFFFFF"/>
        </w:rPr>
        <w:t>, </w:t>
      </w:r>
      <w:r w:rsidRPr="00DF7E2E">
        <w:rPr>
          <w:rFonts w:cstheme="minorHAnsi"/>
          <w:i/>
          <w:iCs/>
          <w:color w:val="000000" w:themeColor="text1"/>
          <w:shd w:val="clear" w:color="auto" w:fill="FFFFFF"/>
        </w:rPr>
        <w:t>67</w:t>
      </w:r>
      <w:r w:rsidRPr="00DF7E2E">
        <w:rPr>
          <w:rFonts w:cstheme="minorHAnsi"/>
          <w:color w:val="000000" w:themeColor="text1"/>
          <w:shd w:val="clear" w:color="auto" w:fill="FFFFFF"/>
        </w:rPr>
        <w:t>(2), pp.181-198.</w:t>
      </w:r>
    </w:p>
    <w:p w14:paraId="2135C646" w14:textId="77777777" w:rsidR="00B736C1" w:rsidRPr="00DF7E2E" w:rsidRDefault="00B736C1" w:rsidP="00B736C1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lang w:eastAsia="en-GB"/>
        </w:rPr>
      </w:pPr>
    </w:p>
    <w:p w14:paraId="42576737" w14:textId="27042115" w:rsidR="00B736C1" w:rsidRDefault="00B736C1" w:rsidP="00BC2014">
      <w:pPr>
        <w:pStyle w:val="ListParagraph"/>
        <w:numPr>
          <w:ilvl w:val="0"/>
          <w:numId w:val="1"/>
        </w:numPr>
      </w:pPr>
      <w:r>
        <w:t xml:space="preserve">Office for National Statistics. 2018. </w:t>
      </w:r>
      <w:r w:rsidRPr="00BC2014">
        <w:rPr>
          <w:i/>
        </w:rPr>
        <w:t>Overview of the UK population: November 2018</w:t>
      </w:r>
      <w:r>
        <w:t xml:space="preserve">. [Online]. [Accessed 13 November 2018]. Available from: </w:t>
      </w:r>
      <w:hyperlink r:id="rId10" w:history="1">
        <w:r w:rsidRPr="00E33CD8">
          <w:rPr>
            <w:rStyle w:val="Hyperlink"/>
          </w:rPr>
          <w:t>https://www.ons.gov.uk/peoplepopulationandcommunity/populationandmigration/populationestimates/articles/overviewoftheukpopulation/november2018</w:t>
        </w:r>
      </w:hyperlink>
    </w:p>
    <w:p w14:paraId="6475D833" w14:textId="77777777" w:rsidR="00B736C1" w:rsidRDefault="00B736C1" w:rsidP="00B736C1">
      <w:pPr>
        <w:pStyle w:val="ListParagraph"/>
      </w:pPr>
    </w:p>
    <w:p w14:paraId="2E1F77E2" w14:textId="17F417DD" w:rsidR="00B736C1" w:rsidRDefault="00B736C1" w:rsidP="00BC2014">
      <w:pPr>
        <w:pStyle w:val="ListParagraph"/>
        <w:numPr>
          <w:ilvl w:val="0"/>
          <w:numId w:val="1"/>
        </w:numPr>
        <w:spacing w:after="0" w:line="240" w:lineRule="auto"/>
      </w:pPr>
      <w:r w:rsidRPr="00BC2014">
        <w:rPr>
          <w:rFonts w:ascii="Calibri" w:eastAsia="Times New Roman" w:hAnsi="Calibri" w:cs="Calibri"/>
          <w:color w:val="000000"/>
          <w:lang w:eastAsia="en-GB"/>
        </w:rPr>
        <w:t xml:space="preserve">Sommerfeld, D.K., Eek, E.U.B., </w:t>
      </w:r>
      <w:proofErr w:type="spellStart"/>
      <w:r w:rsidRPr="00BC2014">
        <w:rPr>
          <w:rFonts w:ascii="Calibri" w:eastAsia="Times New Roman" w:hAnsi="Calibri" w:cs="Calibri"/>
          <w:color w:val="000000"/>
          <w:lang w:eastAsia="en-GB"/>
        </w:rPr>
        <w:t>Svensson</w:t>
      </w:r>
      <w:proofErr w:type="spellEnd"/>
      <w:r w:rsidRPr="00BC2014">
        <w:rPr>
          <w:rFonts w:ascii="Calibri" w:eastAsia="Times New Roman" w:hAnsi="Calibri" w:cs="Calibri"/>
          <w:color w:val="000000"/>
          <w:lang w:eastAsia="en-GB"/>
        </w:rPr>
        <w:t xml:space="preserve">, A.K., </w:t>
      </w:r>
      <w:proofErr w:type="spellStart"/>
      <w:r w:rsidRPr="00BC2014">
        <w:rPr>
          <w:rFonts w:ascii="Calibri" w:eastAsia="Times New Roman" w:hAnsi="Calibri" w:cs="Calibri"/>
          <w:color w:val="000000"/>
          <w:lang w:eastAsia="en-GB"/>
        </w:rPr>
        <w:t>Holmqvist</w:t>
      </w:r>
      <w:proofErr w:type="spellEnd"/>
      <w:r w:rsidRPr="00BC2014">
        <w:rPr>
          <w:rFonts w:ascii="Calibri" w:eastAsia="Times New Roman" w:hAnsi="Calibri" w:cs="Calibri"/>
          <w:color w:val="000000"/>
          <w:lang w:eastAsia="en-GB"/>
        </w:rPr>
        <w:t xml:space="preserve">, L.W. and von </w:t>
      </w:r>
      <w:proofErr w:type="spellStart"/>
      <w:r w:rsidRPr="00BC2014">
        <w:rPr>
          <w:rFonts w:ascii="Calibri" w:eastAsia="Times New Roman" w:hAnsi="Calibri" w:cs="Calibri"/>
          <w:color w:val="000000"/>
          <w:lang w:eastAsia="en-GB"/>
        </w:rPr>
        <w:t>Arbin</w:t>
      </w:r>
      <w:proofErr w:type="spellEnd"/>
      <w:r w:rsidRPr="00BC2014">
        <w:rPr>
          <w:rFonts w:ascii="Calibri" w:eastAsia="Times New Roman" w:hAnsi="Calibri" w:cs="Calibri"/>
          <w:color w:val="000000"/>
          <w:lang w:eastAsia="en-GB"/>
        </w:rPr>
        <w:t>, M.H. 2004. Spasticity after stroke: its occurrence and association with motor impairments and activity limitations. </w:t>
      </w:r>
      <w:r w:rsidRPr="00BC2014">
        <w:rPr>
          <w:i/>
        </w:rPr>
        <w:t>Stroke</w:t>
      </w:r>
      <w:r>
        <w:t>, 35(1), pp.134-139.</w:t>
      </w:r>
    </w:p>
    <w:p w14:paraId="0A442C04" w14:textId="77777777" w:rsidR="00B736C1" w:rsidRDefault="00B736C1" w:rsidP="00B736C1">
      <w:pPr>
        <w:pStyle w:val="ListParagraph"/>
        <w:spacing w:after="0" w:line="240" w:lineRule="auto"/>
      </w:pPr>
    </w:p>
    <w:p w14:paraId="0846D6D9" w14:textId="745947CD" w:rsidR="00B736C1" w:rsidRPr="00B736C1" w:rsidRDefault="00B736C1" w:rsidP="00BC2014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Calibri"/>
          <w:color w:val="000000"/>
          <w:u w:val="none"/>
          <w:lang w:eastAsia="en-GB"/>
        </w:rPr>
      </w:pPr>
      <w:r w:rsidRPr="00BC2014">
        <w:rPr>
          <w:rFonts w:ascii="Calibri" w:eastAsia="Times New Roman" w:hAnsi="Calibri" w:cs="Calibri"/>
          <w:color w:val="000000"/>
          <w:lang w:eastAsia="en-GB"/>
        </w:rPr>
        <w:t xml:space="preserve">Stroke Association. 2018. </w:t>
      </w:r>
      <w:r w:rsidRPr="00BC2014">
        <w:rPr>
          <w:rFonts w:ascii="Calibri" w:eastAsia="Times New Roman" w:hAnsi="Calibri" w:cs="Calibri"/>
          <w:i/>
          <w:color w:val="000000"/>
          <w:lang w:eastAsia="en-GB"/>
        </w:rPr>
        <w:t>State of the Nation. Stroke Statistics February 2018</w:t>
      </w:r>
      <w:r w:rsidRPr="00BC2014">
        <w:rPr>
          <w:rFonts w:ascii="Calibri" w:eastAsia="Times New Roman" w:hAnsi="Calibri" w:cs="Calibri"/>
          <w:color w:val="000000"/>
          <w:lang w:eastAsia="en-GB"/>
        </w:rPr>
        <w:t xml:space="preserve">. [Online]. London: Stroke Association. [Accessed 13 November 2018]. Available from: </w:t>
      </w:r>
      <w:hyperlink r:id="rId11" w:history="1">
        <w:r w:rsidRPr="00BC2014">
          <w:rPr>
            <w:rStyle w:val="Hyperlink"/>
            <w:rFonts w:ascii="Calibri" w:eastAsia="Times New Roman" w:hAnsi="Calibri" w:cs="Calibri"/>
            <w:lang w:eastAsia="en-GB"/>
          </w:rPr>
          <w:t>https://www.stroke.org.uk/system/files/sotn_2018.pdf</w:t>
        </w:r>
      </w:hyperlink>
    </w:p>
    <w:p w14:paraId="20248613" w14:textId="77777777" w:rsidR="00B736C1" w:rsidRPr="00BC2014" w:rsidRDefault="00B736C1" w:rsidP="00B736C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0ACE9B9" w14:textId="77777777" w:rsidR="00B736C1" w:rsidRPr="00B736C1" w:rsidRDefault="00B736C1" w:rsidP="00B736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Van </w:t>
      </w:r>
      <w:proofErr w:type="spellStart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Peppen</w:t>
      </w:r>
      <w:proofErr w:type="spellEnd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R.P., </w:t>
      </w:r>
      <w:proofErr w:type="spellStart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Kwakkel</w:t>
      </w:r>
      <w:proofErr w:type="spellEnd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Wood-</w:t>
      </w:r>
      <w:proofErr w:type="spellStart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Dauphinee</w:t>
      </w:r>
      <w:proofErr w:type="spellEnd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Hendriks, H.J., Van der Wees, P.J. and Dekker, J., 2004. The impact of physical therapy on functional outcomes after stroke: what's the </w:t>
      </w:r>
      <w:proofErr w:type="gramStart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evidence?.</w:t>
      </w:r>
      <w:proofErr w:type="gramEnd"/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B736C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 rehabilitation</w:t>
      </w:r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B736C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 w:rsidRPr="00B736C1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pp.833-862.</w:t>
      </w:r>
    </w:p>
    <w:p w14:paraId="25DAF2D7" w14:textId="136C69D6" w:rsidR="00B736C1" w:rsidRDefault="00B736C1" w:rsidP="00B736C1">
      <w:pPr>
        <w:pStyle w:val="ListParagraph"/>
      </w:pPr>
    </w:p>
    <w:sectPr w:rsidR="00B7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gilesmetcalf@gmail.com" w:date="2018-11-13T13:46:00Z" w:initials="a">
    <w:p w14:paraId="3046ECD6" w14:textId="4EBF8AC1" w:rsidR="002807E1" w:rsidRDefault="002807E1">
      <w:pPr>
        <w:pStyle w:val="CommentText"/>
      </w:pPr>
      <w:r>
        <w:rPr>
          <w:rStyle w:val="CommentReference"/>
        </w:rPr>
        <w:annotationRef/>
      </w:r>
      <w:r>
        <w:t>Lit Review 57</w:t>
      </w:r>
      <w:r w:rsidR="00A031D6">
        <w:t xml:space="preserve"> cited</w:t>
      </w:r>
    </w:p>
  </w:comment>
  <w:comment w:id="1" w:author="adamgilesmetcalf@gmail.com [2]" w:date="2018-11-15T12:37:00Z" w:initials="a">
    <w:p w14:paraId="330FE129" w14:textId="03D3F439" w:rsidR="00DF7E2E" w:rsidRDefault="00DF7E2E">
      <w:pPr>
        <w:pStyle w:val="CommentText"/>
      </w:pPr>
      <w:r>
        <w:rPr>
          <w:rStyle w:val="CommentReference"/>
        </w:rPr>
        <w:annotationRef/>
      </w:r>
      <w:r>
        <w:t>Lit review 65 cited</w:t>
      </w:r>
    </w:p>
  </w:comment>
  <w:comment w:id="2" w:author="adamgilesmetcalf@gmail.com" w:date="2018-11-13T13:46:00Z" w:initials="a">
    <w:p w14:paraId="5C849D18" w14:textId="49D075F3" w:rsidR="0047609C" w:rsidRDefault="0047609C" w:rsidP="0047609C">
      <w:pPr>
        <w:pStyle w:val="CommentText"/>
      </w:pPr>
      <w:r>
        <w:rPr>
          <w:rStyle w:val="CommentReference"/>
        </w:rPr>
        <w:annotationRef/>
      </w:r>
      <w:r>
        <w:t>Lit Review 57</w:t>
      </w:r>
      <w:r w:rsidR="00A031D6">
        <w:t xml:space="preserve"> cited</w:t>
      </w:r>
    </w:p>
  </w:comment>
  <w:comment w:id="3" w:author="adamgilesmetcalf@gmail.com" w:date="2018-11-13T14:03:00Z" w:initials="a">
    <w:p w14:paraId="592A4BF8" w14:textId="02A19FE4" w:rsidR="00A031D6" w:rsidRDefault="00A031D6">
      <w:pPr>
        <w:pStyle w:val="CommentText"/>
      </w:pPr>
      <w:r>
        <w:rPr>
          <w:rStyle w:val="CommentReference"/>
        </w:rPr>
        <w:annotationRef/>
      </w:r>
      <w:r>
        <w:t>Lit Review 58 cited</w:t>
      </w:r>
    </w:p>
  </w:comment>
  <w:comment w:id="4" w:author="adamgilesmetcalf@gmail.com [3]" w:date="2018-11-15T12:58:00Z" w:initials="a">
    <w:p w14:paraId="0ACC0A71" w14:textId="03C6AF65" w:rsidR="00A46FDE" w:rsidRDefault="00A46FDE">
      <w:pPr>
        <w:pStyle w:val="CommentText"/>
      </w:pPr>
      <w:r>
        <w:rPr>
          <w:rStyle w:val="CommentReference"/>
        </w:rPr>
        <w:annotationRef/>
      </w:r>
      <w:r>
        <w:t>Lit Review 66 cited</w:t>
      </w:r>
    </w:p>
  </w:comment>
  <w:comment w:id="5" w:author="adamgilesmetcalf@gmail.com" w:date="2018-11-13T13:46:00Z" w:initials="a">
    <w:p w14:paraId="7C747A28" w14:textId="77777777" w:rsidR="00E62BCC" w:rsidRDefault="00E62BCC" w:rsidP="00E62BCC">
      <w:pPr>
        <w:pStyle w:val="CommentText"/>
      </w:pPr>
      <w:r>
        <w:rPr>
          <w:rStyle w:val="CommentReference"/>
        </w:rPr>
        <w:annotationRef/>
      </w:r>
      <w:r>
        <w:t>Lit Review 57 cited</w:t>
      </w:r>
    </w:p>
  </w:comment>
  <w:comment w:id="6" w:author="adamgilesmetcalf@gmail.com" w:date="2018-11-06T16:01:00Z" w:initials="a">
    <w:p w14:paraId="3F081CE1" w14:textId="16B6CFF6" w:rsidR="00A55ABF" w:rsidRDefault="00940E5D">
      <w:pPr>
        <w:pStyle w:val="CommentText"/>
      </w:pPr>
      <w:r>
        <w:rPr>
          <w:rStyle w:val="CommentReference"/>
        </w:rPr>
        <w:annotationRef/>
      </w:r>
      <w:r w:rsidR="00A55ABF">
        <w:t>Lit Review 60 cited</w:t>
      </w:r>
    </w:p>
    <w:p w14:paraId="421F2E21" w14:textId="77777777" w:rsidR="00A55ABF" w:rsidRDefault="00A55ABF">
      <w:pPr>
        <w:pStyle w:val="CommentText"/>
      </w:pPr>
    </w:p>
    <w:p w14:paraId="4A0CBDB0" w14:textId="3548BA48" w:rsidR="00940E5D" w:rsidRDefault="00940E5D">
      <w:pPr>
        <w:pStyle w:val="CommentText"/>
      </w:pPr>
      <w:r w:rsidRPr="00940E5D">
        <w:t>https://www.ons.gov.uk/peoplepopulationandcommunity/populationandmigration/populationestimates/articles/overviewoftheukpopulation/november2018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46ECD6" w15:done="0"/>
  <w15:commentEx w15:paraId="330FE129" w15:done="0"/>
  <w15:commentEx w15:paraId="5C849D18" w15:done="0"/>
  <w15:commentEx w15:paraId="592A4BF8" w15:done="0"/>
  <w15:commentEx w15:paraId="0ACC0A71" w15:done="0"/>
  <w15:commentEx w15:paraId="7C747A28" w15:done="0"/>
  <w15:commentEx w15:paraId="4A0CBD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46ECD6" w16cid:durableId="1F955453"/>
  <w16cid:commentId w16cid:paraId="330FE129" w16cid:durableId="1F97E6F2"/>
  <w16cid:commentId w16cid:paraId="5C849D18" w16cid:durableId="1F955499"/>
  <w16cid:commentId w16cid:paraId="592A4BF8" w16cid:durableId="1F95583E"/>
  <w16cid:commentId w16cid:paraId="0ACC0A71" w16cid:durableId="1F97EC10"/>
  <w16cid:commentId w16cid:paraId="7C747A28" w16cid:durableId="1F955B30"/>
  <w16cid:commentId w16cid:paraId="4A0CBDB0" w16cid:durableId="1F8C39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14D0"/>
    <w:multiLevelType w:val="hybridMultilevel"/>
    <w:tmpl w:val="1B8AC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gilesmetcalf@gmail.com">
    <w15:presenceInfo w15:providerId="Windows Live" w15:userId="9e1c6c8f08769282"/>
  </w15:person>
  <w15:person w15:author="adamgilesmetcalf@gmail.com [2]">
    <w15:presenceInfo w15:providerId="Windows Live" w15:userId="9e1c6c8f08769282"/>
  </w15:person>
  <w15:person w15:author="adamgilesmetcalf@gmail.com [3]">
    <w15:presenceInfo w15:providerId="Windows Live" w15:userId="9e1c6c8f08769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27"/>
    <w:rsid w:val="000517B1"/>
    <w:rsid w:val="0005487E"/>
    <w:rsid w:val="000637B3"/>
    <w:rsid w:val="000F70C5"/>
    <w:rsid w:val="00147D0D"/>
    <w:rsid w:val="001C0F02"/>
    <w:rsid w:val="0020059A"/>
    <w:rsid w:val="00256800"/>
    <w:rsid w:val="0026026B"/>
    <w:rsid w:val="002807E1"/>
    <w:rsid w:val="0028633A"/>
    <w:rsid w:val="002F06F1"/>
    <w:rsid w:val="002F738F"/>
    <w:rsid w:val="0034452D"/>
    <w:rsid w:val="00374302"/>
    <w:rsid w:val="0038750C"/>
    <w:rsid w:val="003A7D7D"/>
    <w:rsid w:val="004412AE"/>
    <w:rsid w:val="0047609C"/>
    <w:rsid w:val="00502103"/>
    <w:rsid w:val="0054042F"/>
    <w:rsid w:val="00567B05"/>
    <w:rsid w:val="00575482"/>
    <w:rsid w:val="005A6D49"/>
    <w:rsid w:val="00624E67"/>
    <w:rsid w:val="00632F0F"/>
    <w:rsid w:val="00684F14"/>
    <w:rsid w:val="006E6338"/>
    <w:rsid w:val="007465B5"/>
    <w:rsid w:val="007F5052"/>
    <w:rsid w:val="00802DFE"/>
    <w:rsid w:val="00840D2E"/>
    <w:rsid w:val="008B1D6C"/>
    <w:rsid w:val="008C2C42"/>
    <w:rsid w:val="008C70A2"/>
    <w:rsid w:val="00933EF0"/>
    <w:rsid w:val="00940E5D"/>
    <w:rsid w:val="00951CAE"/>
    <w:rsid w:val="009C337D"/>
    <w:rsid w:val="009F1350"/>
    <w:rsid w:val="00A031D6"/>
    <w:rsid w:val="00A46FDE"/>
    <w:rsid w:val="00A55ABF"/>
    <w:rsid w:val="00A65D8B"/>
    <w:rsid w:val="00B151F8"/>
    <w:rsid w:val="00B736C1"/>
    <w:rsid w:val="00B81F27"/>
    <w:rsid w:val="00BA41B2"/>
    <w:rsid w:val="00BC2014"/>
    <w:rsid w:val="00BC7692"/>
    <w:rsid w:val="00C90199"/>
    <w:rsid w:val="00CC43DE"/>
    <w:rsid w:val="00D41899"/>
    <w:rsid w:val="00D539A1"/>
    <w:rsid w:val="00D72166"/>
    <w:rsid w:val="00D95DB6"/>
    <w:rsid w:val="00DF7E2E"/>
    <w:rsid w:val="00E10106"/>
    <w:rsid w:val="00E337B0"/>
    <w:rsid w:val="00E62BCC"/>
    <w:rsid w:val="00E701AC"/>
    <w:rsid w:val="00E86280"/>
    <w:rsid w:val="00E92153"/>
    <w:rsid w:val="00F536B6"/>
    <w:rsid w:val="00F55986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2968"/>
  <w15:chartTrackingRefBased/>
  <w15:docId w15:val="{8E6EFC4C-63EB-44F4-AA0C-4B441E1B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E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E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5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54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45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52D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stroke.org.uk/system/files/sotn_2018.pdf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ons.gov.uk/peoplepopulationandcommunity/populationandmigration/populationestimates/articles/overviewoftheukpopulation/november20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36</cp:revision>
  <dcterms:created xsi:type="dcterms:W3CDTF">2018-11-06T13:18:00Z</dcterms:created>
  <dcterms:modified xsi:type="dcterms:W3CDTF">2018-11-15T17:05:00Z</dcterms:modified>
</cp:coreProperties>
</file>