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77777777" w:rsidR="0087799B" w:rsidRPr="0087799B" w:rsidRDefault="0087799B" w:rsidP="0087799B">
      <w:pPr>
        <w:rPr>
          <w:rFonts w:ascii="Times" w:hAnsi="Times"/>
          <w:color w:val="C0504D" w:themeColor="accent2"/>
        </w:rPr>
      </w:pPr>
      <w:bookmarkStart w:id="0" w:name="_GoBack"/>
      <w:bookmarkEnd w:id="0"/>
      <w:r w:rsidRPr="0087799B">
        <w:rPr>
          <w:rFonts w:ascii="Times" w:hAnsi="Times"/>
          <w:color w:val="C0504D" w:themeColor="accent2"/>
        </w:rPr>
        <w:t>July 3,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77777777" w:rsidR="0087799B" w:rsidRDefault="0087799B" w:rsidP="0087799B">
      <w:pPr>
        <w:rPr>
          <w:rFonts w:ascii="Times" w:hAnsi="Times"/>
        </w:rPr>
      </w:pPr>
      <w:r>
        <w:rPr>
          <w:rFonts w:ascii="Times" w:hAnsi="Times"/>
        </w:rPr>
        <w:t xml:space="preserve">We appreciate the opportunity to submit a revision of our manuscript, “Habitual control of goal selection in humans”.  We are grateful for the additional feedback of the </w:t>
      </w:r>
      <w:proofErr w:type="spellStart"/>
      <w:r>
        <w:rPr>
          <w:rFonts w:ascii="Times" w:hAnsi="Times"/>
        </w:rPr>
        <w:t>reviewrs</w:t>
      </w:r>
      <w:proofErr w:type="spellEnd"/>
      <w:r>
        <w:rPr>
          <w:rFonts w:ascii="Times" w:hAnsi="Times"/>
        </w:rPr>
        <w:t>, as well as their enthusiasm for our initial revision.  This feedback has lead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77777777" w:rsidR="0087799B" w:rsidRPr="00193833" w:rsidRDefault="0087799B" w:rsidP="0087799B">
      <w:pPr>
        <w:rPr>
          <w:rFonts w:ascii="Times" w:hAnsi="Times"/>
        </w:rPr>
      </w:pPr>
      <w:r w:rsidRPr="00193833">
        <w:rPr>
          <w:rFonts w:ascii="Times" w:hAnsi="Times"/>
        </w:rPr>
        <w:t xml:space="preserve">We now include more a complete presentation of the methods for each experiment.  These details are distributed across the main text and supporting information consistent with space restrictions.  </w:t>
      </w:r>
      <w:commentRangeStart w:id="1"/>
      <w:r w:rsidRPr="00193833">
        <w:rPr>
          <w:rFonts w:ascii="Times" w:hAnsi="Times"/>
          <w:color w:val="C0504D" w:themeColor="accent2"/>
        </w:rPr>
        <w:t>Adam – can you do this?</w:t>
      </w:r>
      <w:commentRangeEnd w:id="1"/>
      <w:r w:rsidR="00CC1EB3">
        <w:rPr>
          <w:rStyle w:val="CommentReference"/>
        </w:rPr>
        <w:commentReference w:id="1"/>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04C4A41C" w14:textId="77777777" w:rsidR="00420C7A" w:rsidRDefault="00DB70F9" w:rsidP="0087799B">
      <w:pPr>
        <w:rPr>
          <w:rFonts w:ascii="Times" w:hAnsi="Times"/>
        </w:rPr>
      </w:pPr>
      <w:r w:rsidRPr="00193833">
        <w:rPr>
          <w:rFonts w:ascii="Times" w:hAnsi="Times"/>
        </w:rPr>
        <w:t xml:space="preserve">Both reviewers urge more discussion of a recent model and associated experimental results by </w:t>
      </w:r>
      <w:proofErr w:type="spellStart"/>
      <w:r w:rsidRPr="00193833">
        <w:rPr>
          <w:rFonts w:ascii="Times" w:hAnsi="Times"/>
        </w:rPr>
        <w:t>Dezfouli</w:t>
      </w:r>
      <w:proofErr w:type="spellEnd"/>
      <w:r w:rsidRPr="00193833">
        <w:rPr>
          <w:rFonts w:ascii="Times" w:hAnsi="Times"/>
        </w:rPr>
        <w:t xml:space="preserve"> and colleagues.  </w:t>
      </w:r>
      <w:r w:rsidRPr="00364DEB">
        <w:rPr>
          <w:rFonts w:ascii="Times" w:hAnsi="Times"/>
          <w:color w:val="C0504D" w:themeColor="accent2"/>
        </w:rPr>
        <w:t>We have revised the manuscript accordingly</w:t>
      </w:r>
      <w:r w:rsidRPr="00193833">
        <w:rPr>
          <w:rFonts w:ascii="Times" w:hAnsi="Times"/>
        </w:rPr>
        <w:t>.</w:t>
      </w:r>
      <w:r w:rsidR="009C5A55">
        <w:rPr>
          <w:rFonts w:ascii="Times" w:hAnsi="Times"/>
        </w:rPr>
        <w:t xml:space="preserve">  </w:t>
      </w:r>
    </w:p>
    <w:p w14:paraId="06D874B5" w14:textId="77777777" w:rsidR="00420C7A" w:rsidRDefault="00420C7A" w:rsidP="0087799B">
      <w:pPr>
        <w:rPr>
          <w:rFonts w:ascii="Times" w:hAnsi="Times"/>
        </w:rPr>
      </w:pPr>
    </w:p>
    <w:p w14:paraId="3901EF83" w14:textId="77777777" w:rsidR="0087799B" w:rsidRPr="00193833" w:rsidRDefault="009C5A55" w:rsidP="0087799B">
      <w:pPr>
        <w:rPr>
          <w:rFonts w:ascii="Times" w:hAnsi="Times"/>
        </w:rPr>
      </w:pPr>
      <w:r>
        <w:rPr>
          <w:rFonts w:ascii="Times" w:hAnsi="Times"/>
        </w:rPr>
        <w:t>Below we make a number of detailed points</w:t>
      </w:r>
      <w:r w:rsidR="00420C7A">
        <w:rPr>
          <w:rFonts w:ascii="Times" w:hAnsi="Times"/>
        </w:rPr>
        <w:t xml:space="preserve"> for the sake of completeness</w:t>
      </w:r>
      <w:r>
        <w:rPr>
          <w:rFonts w:ascii="Times" w:hAnsi="Times"/>
        </w:rPr>
        <w:t xml:space="preserve">, but </w:t>
      </w:r>
      <w:r w:rsidR="00420C7A">
        <w:rPr>
          <w:rFonts w:ascii="Times" w:hAnsi="Times"/>
        </w:rPr>
        <w:t>these</w:t>
      </w:r>
      <w:r>
        <w:rPr>
          <w:rFonts w:ascii="Times" w:hAnsi="Times"/>
        </w:rPr>
        <w:t xml:space="preserve"> can be summarized simply: Our theoretical proposal and </w:t>
      </w:r>
      <w:proofErr w:type="spellStart"/>
      <w:r>
        <w:rPr>
          <w:rFonts w:ascii="Times" w:hAnsi="Times"/>
        </w:rPr>
        <w:t>Dezfouli’s</w:t>
      </w:r>
      <w:proofErr w:type="spellEnd"/>
      <w:r>
        <w:rPr>
          <w:rFonts w:ascii="Times" w:hAnsi="Times"/>
        </w:rPr>
        <w:t xml:space="preserve"> are compatible, and indeed </w:t>
      </w:r>
      <w:r w:rsidR="00420C7A">
        <w:rPr>
          <w:rFonts w:ascii="Times" w:hAnsi="Times"/>
        </w:rPr>
        <w:t>they share the theme that habitual and goal-directed</w:t>
      </w:r>
      <w:r>
        <w:rPr>
          <w:rFonts w:ascii="Times" w:hAnsi="Times"/>
        </w:rPr>
        <w:t xml:space="preserve"> control</w:t>
      </w:r>
      <w:r w:rsidR="00420C7A">
        <w:rPr>
          <w:rFonts w:ascii="Times" w:hAnsi="Times"/>
        </w:rPr>
        <w:t xml:space="preserve"> may be mixed at independent levels of hierarchical control</w:t>
      </w:r>
      <w:r>
        <w:rPr>
          <w:rFonts w:ascii="Times" w:hAnsi="Times"/>
        </w:rPr>
        <w:t xml:space="preserve">.  Our data do not contradict their model, nor do </w:t>
      </w:r>
      <w:r w:rsidR="00096BC5">
        <w:rPr>
          <w:rFonts w:ascii="Times" w:hAnsi="Times"/>
        </w:rPr>
        <w:t>their data contradict our model.</w:t>
      </w:r>
    </w:p>
    <w:p w14:paraId="1A4E516E" w14:textId="77777777" w:rsidR="00DB70F9" w:rsidRPr="00193833" w:rsidRDefault="00DB70F9" w:rsidP="0087799B">
      <w:pPr>
        <w:rPr>
          <w:rFonts w:ascii="Times" w:hAnsi="Times"/>
        </w:rPr>
      </w:pPr>
    </w:p>
    <w:p w14:paraId="49969E76" w14:textId="77777777" w:rsidR="00432E88" w:rsidRDefault="00DB70F9" w:rsidP="0087799B">
      <w:pPr>
        <w:rPr>
          <w:rFonts w:ascii="Times" w:hAnsi="Times"/>
        </w:rPr>
      </w:pPr>
      <w:r w:rsidRPr="00193833">
        <w:rPr>
          <w:rFonts w:ascii="Times" w:hAnsi="Times"/>
        </w:rPr>
        <w:t xml:space="preserve">In brief, </w:t>
      </w:r>
      <w:proofErr w:type="spellStart"/>
      <w:r w:rsidRPr="00193833">
        <w:rPr>
          <w:rFonts w:ascii="Times" w:hAnsi="Times"/>
        </w:rPr>
        <w:t>Dezfou</w:t>
      </w:r>
      <w:r w:rsidR="0000560B" w:rsidRPr="00193833">
        <w:rPr>
          <w:rFonts w:ascii="Times" w:hAnsi="Times"/>
        </w:rPr>
        <w:t>l</w:t>
      </w:r>
      <w:r w:rsidRPr="00193833">
        <w:rPr>
          <w:rFonts w:ascii="Times" w:hAnsi="Times"/>
        </w:rPr>
        <w:t>i</w:t>
      </w:r>
      <w:proofErr w:type="spellEnd"/>
      <w:r w:rsidRPr="00193833">
        <w:rPr>
          <w:rFonts w:ascii="Times" w:hAnsi="Times"/>
        </w:rPr>
        <w:t xml:space="preserve"> and colleagues </w:t>
      </w:r>
      <w:r w:rsidR="00096BC5">
        <w:rPr>
          <w:rFonts w:ascii="Times" w:hAnsi="Times"/>
        </w:rPr>
        <w:t>make</w:t>
      </w:r>
      <w:r w:rsidRPr="00193833">
        <w:rPr>
          <w:rFonts w:ascii="Times" w:hAnsi="Times"/>
        </w:rPr>
        <w:t xml:space="preserve"> two arguments.  </w:t>
      </w:r>
      <w:r w:rsidR="003B6FE7">
        <w:rPr>
          <w:rFonts w:ascii="Times" w:hAnsi="Times"/>
        </w:rPr>
        <w:t xml:space="preserve">First, they propose model-based control over habit-based options.  Second, </w:t>
      </w:r>
      <w:r w:rsidR="00432E88">
        <w:rPr>
          <w:rFonts w:ascii="Times" w:hAnsi="Times"/>
        </w:rPr>
        <w:t xml:space="preserve">they propose that habitual </w:t>
      </w:r>
      <w:r w:rsidR="00420C7A">
        <w:rPr>
          <w:rFonts w:ascii="Times" w:hAnsi="Times"/>
        </w:rPr>
        <w:t>control occurs by</w:t>
      </w:r>
      <w:r w:rsidR="00432E88">
        <w:rPr>
          <w:rFonts w:ascii="Times" w:hAnsi="Times"/>
        </w:rPr>
        <w:t xml:space="preserve"> action sequencing rather than model-free value representation</w:t>
      </w:r>
      <w:r w:rsidR="003B6FE7">
        <w:rPr>
          <w:rFonts w:ascii="Times" w:hAnsi="Times"/>
        </w:rPr>
        <w:t>.</w:t>
      </w:r>
    </w:p>
    <w:p w14:paraId="3249E2DE" w14:textId="77777777" w:rsidR="003B6FE7" w:rsidRDefault="003B6FE7" w:rsidP="0087799B">
      <w:pPr>
        <w:rPr>
          <w:rFonts w:ascii="Times" w:hAnsi="Times"/>
        </w:rPr>
      </w:pPr>
    </w:p>
    <w:p w14:paraId="57913BDC" w14:textId="77777777" w:rsidR="00DB70F9" w:rsidRDefault="003B6FE7" w:rsidP="0087799B">
      <w:pPr>
        <w:rPr>
          <w:rFonts w:ascii="Times" w:hAnsi="Times"/>
        </w:rPr>
      </w:pPr>
      <w:r>
        <w:rPr>
          <w:rFonts w:ascii="Times" w:hAnsi="Times"/>
        </w:rPr>
        <w:t xml:space="preserve">Regarding the first claim, </w:t>
      </w:r>
      <w:r w:rsidR="00420C7A">
        <w:rPr>
          <w:rFonts w:ascii="Times" w:hAnsi="Times"/>
        </w:rPr>
        <w:t xml:space="preserve">of course </w:t>
      </w:r>
      <w:r>
        <w:rPr>
          <w:rFonts w:ascii="Times" w:hAnsi="Times"/>
        </w:rPr>
        <w:t>w</w:t>
      </w:r>
      <w:r w:rsidR="00DB70F9" w:rsidRPr="00193833">
        <w:rPr>
          <w:rFonts w:ascii="Times" w:hAnsi="Times"/>
        </w:rPr>
        <w:t>e provide evidence</w:t>
      </w:r>
      <w:r>
        <w:rPr>
          <w:rFonts w:ascii="Times" w:hAnsi="Times"/>
        </w:rPr>
        <w:t xml:space="preserve"> </w:t>
      </w:r>
      <w:r w:rsidR="00DB70F9" w:rsidRPr="00193833">
        <w:rPr>
          <w:rFonts w:ascii="Times" w:hAnsi="Times"/>
        </w:rPr>
        <w:t xml:space="preserve">for the opposite arrangement: habitual control of the selection of model-based options.  Consistent with prior versions of our manuscript, we do not regard these proposals as mutually exclusive.  To the </w:t>
      </w:r>
      <w:r w:rsidR="00DB70F9" w:rsidRPr="00193833">
        <w:rPr>
          <w:rFonts w:ascii="Times" w:hAnsi="Times"/>
        </w:rPr>
        <w:lastRenderedPageBreak/>
        <w:t xml:space="preserve">contrary, we regard both as </w:t>
      </w:r>
      <w:r w:rsidR="00193833">
        <w:rPr>
          <w:rFonts w:ascii="Times" w:hAnsi="Times"/>
        </w:rPr>
        <w:t>reflections</w:t>
      </w:r>
      <w:r w:rsidR="00DB70F9" w:rsidRPr="00193833">
        <w:rPr>
          <w:rFonts w:ascii="Times" w:hAnsi="Times"/>
        </w:rPr>
        <w:t xml:space="preserve"> of </w:t>
      </w:r>
      <w:r w:rsidR="0000560B" w:rsidRPr="00193833">
        <w:rPr>
          <w:rFonts w:ascii="Times" w:hAnsi="Times"/>
        </w:rPr>
        <w:t>a single</w:t>
      </w:r>
      <w:r w:rsidR="00DB70F9" w:rsidRPr="00193833">
        <w:rPr>
          <w:rFonts w:ascii="Times" w:hAnsi="Times"/>
        </w:rPr>
        <w:t xml:space="preserve"> guiding principle</w:t>
      </w:r>
      <w:r w:rsidR="0000560B" w:rsidRPr="00193833">
        <w:rPr>
          <w:rFonts w:ascii="Times" w:hAnsi="Times"/>
        </w:rPr>
        <w:t>:</w:t>
      </w:r>
      <w:r w:rsidR="00DB70F9" w:rsidRPr="00193833">
        <w:rPr>
          <w:rFonts w:ascii="Times" w:hAnsi="Times"/>
        </w:rPr>
        <w:t xml:space="preserve"> </w:t>
      </w:r>
      <w:r w:rsidR="00193833">
        <w:rPr>
          <w:rFonts w:ascii="Times" w:hAnsi="Times"/>
        </w:rPr>
        <w:t>I</w:t>
      </w:r>
      <w:r w:rsidR="00DB70F9" w:rsidRPr="00193833">
        <w:rPr>
          <w:rFonts w:ascii="Times" w:hAnsi="Times"/>
        </w:rPr>
        <w:t>t is desirable to “[tailor] the means of control (habit vs. planning) to the affordances of a particular level of behavioral abstraction</w:t>
      </w:r>
      <w:r w:rsidR="0091064D" w:rsidRPr="00193833">
        <w:rPr>
          <w:rFonts w:ascii="Times" w:hAnsi="Times"/>
        </w:rPr>
        <w:t>” (i.e., a particular level of hierarchical control)</w:t>
      </w:r>
      <w:r w:rsidR="0000560B" w:rsidRPr="00193833">
        <w:rPr>
          <w:rFonts w:ascii="Times" w:hAnsi="Times"/>
        </w:rPr>
        <w:t xml:space="preserve">.  In our prior manuscript we approvingly cited both theoretical and empirical studies indicating habit-based options.  In our current revision we add </w:t>
      </w:r>
      <w:r w:rsidR="0091064D" w:rsidRPr="00193833">
        <w:rPr>
          <w:rFonts w:ascii="Times" w:hAnsi="Times"/>
        </w:rPr>
        <w:t xml:space="preserve">substantial new </w:t>
      </w:r>
      <w:r w:rsidR="0000560B" w:rsidRPr="00193833">
        <w:rPr>
          <w:rFonts w:ascii="Times" w:hAnsi="Times"/>
        </w:rPr>
        <w:t xml:space="preserve">emphasis to </w:t>
      </w:r>
      <w:proofErr w:type="spellStart"/>
      <w:r w:rsidR="0000560B" w:rsidRPr="00193833">
        <w:rPr>
          <w:rFonts w:ascii="Times" w:hAnsi="Times"/>
        </w:rPr>
        <w:t>Dezfouli</w:t>
      </w:r>
      <w:proofErr w:type="spellEnd"/>
      <w:r w:rsidR="0000560B" w:rsidRPr="00193833">
        <w:rPr>
          <w:rFonts w:ascii="Times" w:hAnsi="Times"/>
        </w:rPr>
        <w:t xml:space="preserve"> and colleagues’ important work showing that these options m</w:t>
      </w:r>
      <w:r w:rsidR="0055276E">
        <w:rPr>
          <w:rFonts w:ascii="Times" w:hAnsi="Times"/>
        </w:rPr>
        <w:t>ay be under model-based control.</w:t>
      </w:r>
    </w:p>
    <w:p w14:paraId="79B23F42" w14:textId="77777777" w:rsidR="003B6FE7" w:rsidRDefault="003B6FE7" w:rsidP="0087799B">
      <w:pPr>
        <w:rPr>
          <w:rFonts w:ascii="Times" w:hAnsi="Times"/>
        </w:rPr>
      </w:pPr>
    </w:p>
    <w:p w14:paraId="4631CD19" w14:textId="77777777" w:rsidR="003B6FE7" w:rsidRPr="00193833" w:rsidRDefault="003B6FE7" w:rsidP="0087799B">
      <w:pPr>
        <w:rPr>
          <w:rFonts w:ascii="Times" w:hAnsi="Times"/>
        </w:rPr>
      </w:pPr>
      <w:r>
        <w:rPr>
          <w:rFonts w:ascii="Times" w:hAnsi="Times"/>
        </w:rPr>
        <w:t xml:space="preserve">As Reviewer 1 anticipates, a novel method we employ in Experiments 2a-b allows us to provide evidence for model-free control over options.  Specifically, we construct a task in which a terminal reward distribution is equally available from all Stage 2 states (and thus all Stage 1 actions).  In this context, model-based control over options does not predict that rewards from this distribution will influence subsequent choice.  </w:t>
      </w:r>
    </w:p>
    <w:p w14:paraId="7F961750" w14:textId="77777777" w:rsidR="0000560B" w:rsidRPr="00193833" w:rsidRDefault="0000560B" w:rsidP="0087799B">
      <w:pPr>
        <w:rPr>
          <w:rFonts w:ascii="Times" w:hAnsi="Times"/>
        </w:rPr>
      </w:pPr>
    </w:p>
    <w:p w14:paraId="3C095318" w14:textId="77777777" w:rsidR="0055276E" w:rsidRPr="00193833" w:rsidRDefault="0000560B" w:rsidP="0055276E">
      <w:pPr>
        <w:rPr>
          <w:rFonts w:ascii="Times" w:hAnsi="Times"/>
        </w:rPr>
      </w:pPr>
      <w:proofErr w:type="spellStart"/>
      <w:r w:rsidRPr="00193833">
        <w:rPr>
          <w:rFonts w:ascii="Times" w:hAnsi="Times"/>
        </w:rPr>
        <w:t>Dezfouli</w:t>
      </w:r>
      <w:proofErr w:type="spellEnd"/>
      <w:r w:rsidRPr="00193833">
        <w:rPr>
          <w:rFonts w:ascii="Times" w:hAnsi="Times"/>
        </w:rPr>
        <w:t xml:space="preserve"> and colleagues</w:t>
      </w:r>
      <w:r w:rsidR="00096BC5">
        <w:rPr>
          <w:rFonts w:ascii="Times" w:hAnsi="Times"/>
        </w:rPr>
        <w:t>’ second argument</w:t>
      </w:r>
      <w:r w:rsidRPr="00193833">
        <w:rPr>
          <w:rFonts w:ascii="Times" w:hAnsi="Times"/>
        </w:rPr>
        <w:t xml:space="preserve"> is that past evidence (e.g. by </w:t>
      </w:r>
      <w:proofErr w:type="spellStart"/>
      <w:r w:rsidRPr="00193833">
        <w:rPr>
          <w:rFonts w:ascii="Times" w:hAnsi="Times"/>
        </w:rPr>
        <w:t>Daw</w:t>
      </w:r>
      <w:proofErr w:type="spellEnd"/>
      <w:r w:rsidRPr="00193833">
        <w:rPr>
          <w:rFonts w:ascii="Times" w:hAnsi="Times"/>
        </w:rPr>
        <w:t xml:space="preserve"> and colleagues) for a model-free RL account of habits is better accommodated by an action sequencing account.  </w:t>
      </w:r>
      <w:r w:rsidR="0055276E">
        <w:rPr>
          <w:rFonts w:ascii="Times" w:hAnsi="Times"/>
        </w:rPr>
        <w:t xml:space="preserve">We have revised the present manuscript to note the evidence of </w:t>
      </w:r>
      <w:proofErr w:type="spellStart"/>
      <w:r w:rsidR="0055276E">
        <w:rPr>
          <w:rFonts w:ascii="Times" w:hAnsi="Times"/>
        </w:rPr>
        <w:t>Dezfouli</w:t>
      </w:r>
      <w:proofErr w:type="spellEnd"/>
      <w:r w:rsidR="0055276E">
        <w:rPr>
          <w:rFonts w:ascii="Times" w:hAnsi="Times"/>
        </w:rPr>
        <w:t xml:space="preserve"> and colleagues in favor of the existence of options defined as action sequences.</w:t>
      </w:r>
    </w:p>
    <w:p w14:paraId="4CC5A373" w14:textId="77777777" w:rsidR="0000560B" w:rsidRDefault="0000560B" w:rsidP="0087799B">
      <w:pPr>
        <w:rPr>
          <w:rFonts w:ascii="Times" w:hAnsi="Times"/>
        </w:rPr>
      </w:pPr>
      <w:r w:rsidRPr="00193833">
        <w:rPr>
          <w:rFonts w:ascii="Times" w:hAnsi="Times"/>
        </w:rPr>
        <w:t>Reviewer 1 asks whether “the current model explain[s] [</w:t>
      </w:r>
      <w:proofErr w:type="spellStart"/>
      <w:r w:rsidRPr="00193833">
        <w:rPr>
          <w:rFonts w:ascii="Times" w:hAnsi="Times"/>
        </w:rPr>
        <w:t>Dezfouli</w:t>
      </w:r>
      <w:proofErr w:type="spellEnd"/>
      <w:r w:rsidRPr="00193833">
        <w:rPr>
          <w:rFonts w:ascii="Times" w:hAnsi="Times"/>
        </w:rPr>
        <w:t xml:space="preserve"> and colleagues’] action sequencing effect”.  </w:t>
      </w:r>
      <w:commentRangeStart w:id="2"/>
      <w:r w:rsidR="009C5A55">
        <w:rPr>
          <w:rFonts w:ascii="Times" w:hAnsi="Times"/>
        </w:rPr>
        <w:t>However, we do not believe that</w:t>
      </w:r>
      <w:r w:rsidRPr="00193833">
        <w:rPr>
          <w:rFonts w:ascii="Times" w:hAnsi="Times"/>
        </w:rPr>
        <w:t xml:space="preserve"> </w:t>
      </w:r>
      <w:r w:rsidRPr="00193833">
        <w:rPr>
          <w:rFonts w:ascii="Times" w:hAnsi="Times"/>
          <w:i/>
        </w:rPr>
        <w:t>our data or model</w:t>
      </w:r>
      <w:r w:rsidRPr="00193833">
        <w:rPr>
          <w:rFonts w:ascii="Times" w:hAnsi="Times"/>
        </w:rPr>
        <w:t xml:space="preserve"> provide an alternative explanation of </w:t>
      </w:r>
      <w:proofErr w:type="spellStart"/>
      <w:r w:rsidRPr="00193833">
        <w:rPr>
          <w:rFonts w:ascii="Times" w:hAnsi="Times"/>
          <w:i/>
        </w:rPr>
        <w:t>Dezfou</w:t>
      </w:r>
      <w:r w:rsidR="0055276E">
        <w:rPr>
          <w:rFonts w:ascii="Times" w:hAnsi="Times"/>
          <w:i/>
        </w:rPr>
        <w:t>l</w:t>
      </w:r>
      <w:r w:rsidRPr="00193833">
        <w:rPr>
          <w:rFonts w:ascii="Times" w:hAnsi="Times"/>
          <w:i/>
        </w:rPr>
        <w:t>i</w:t>
      </w:r>
      <w:proofErr w:type="spellEnd"/>
      <w:r w:rsidRPr="00193833">
        <w:rPr>
          <w:rFonts w:ascii="Times" w:hAnsi="Times"/>
          <w:i/>
        </w:rPr>
        <w:t xml:space="preserve"> and colleagues’ data</w:t>
      </w:r>
      <w:r w:rsidRPr="00193833">
        <w:rPr>
          <w:rFonts w:ascii="Times" w:hAnsi="Times"/>
        </w:rPr>
        <w:t xml:space="preserve"> on a</w:t>
      </w:r>
      <w:r w:rsidR="0055276E">
        <w:rPr>
          <w:rFonts w:ascii="Times" w:hAnsi="Times"/>
        </w:rPr>
        <w:t>ction sequencing</w:t>
      </w:r>
      <w:commentRangeEnd w:id="2"/>
      <w:r w:rsidR="00CC1EB3">
        <w:rPr>
          <w:rStyle w:val="CommentReference"/>
        </w:rPr>
        <w:commentReference w:id="2"/>
      </w:r>
      <w:r w:rsidR="0055276E">
        <w:rPr>
          <w:rFonts w:ascii="Times" w:hAnsi="Times"/>
        </w:rPr>
        <w:t xml:space="preserve">.  </w:t>
      </w:r>
      <w:r w:rsidR="00096BC5">
        <w:rPr>
          <w:rFonts w:ascii="Times" w:hAnsi="Times"/>
        </w:rPr>
        <w:t>Future research might explore an extension of our novel methods to this question, but we</w:t>
      </w:r>
      <w:r w:rsidR="0055276E">
        <w:rPr>
          <w:rFonts w:ascii="Times" w:hAnsi="Times"/>
        </w:rPr>
        <w:t xml:space="preserve"> regard </w:t>
      </w:r>
      <w:r w:rsidRPr="00193833">
        <w:rPr>
          <w:rFonts w:ascii="Times" w:hAnsi="Times"/>
        </w:rPr>
        <w:t xml:space="preserve">this </w:t>
      </w:r>
      <w:r w:rsidR="0091064D" w:rsidRPr="00193833">
        <w:rPr>
          <w:rFonts w:ascii="Times" w:hAnsi="Times"/>
        </w:rPr>
        <w:t xml:space="preserve">possibility </w:t>
      </w:r>
      <w:r w:rsidR="0055276E">
        <w:rPr>
          <w:rFonts w:ascii="Times" w:hAnsi="Times"/>
        </w:rPr>
        <w:t>as</w:t>
      </w:r>
      <w:r w:rsidRPr="00193833">
        <w:rPr>
          <w:rFonts w:ascii="Times" w:hAnsi="Times"/>
        </w:rPr>
        <w:t xml:space="preserve"> beyond the </w:t>
      </w:r>
      <w:r w:rsidR="0055276E">
        <w:rPr>
          <w:rFonts w:ascii="Times" w:hAnsi="Times"/>
        </w:rPr>
        <w:t>scope of the present manuscript</w:t>
      </w:r>
      <w:r w:rsidR="0091064D" w:rsidRPr="00193833">
        <w:rPr>
          <w:rFonts w:ascii="Times" w:hAnsi="Times"/>
        </w:rPr>
        <w:t>.</w:t>
      </w:r>
    </w:p>
    <w:p w14:paraId="551C438D" w14:textId="77777777" w:rsidR="0055276E" w:rsidRPr="00193833" w:rsidRDefault="0055276E" w:rsidP="0087799B">
      <w:pPr>
        <w:rPr>
          <w:rFonts w:ascii="Times" w:hAnsi="Times"/>
        </w:rPr>
      </w:pPr>
    </w:p>
    <w:p w14:paraId="38584AB8" w14:textId="77777777" w:rsidR="0087799B" w:rsidRDefault="00096BC5" w:rsidP="0087799B">
      <w:pPr>
        <w:rPr>
          <w:rFonts w:ascii="Times" w:hAnsi="Times"/>
        </w:rPr>
      </w:pPr>
      <w:r>
        <w:rPr>
          <w:rFonts w:ascii="Times" w:hAnsi="Times"/>
        </w:rPr>
        <w:t>Conversely, does</w:t>
      </w:r>
      <w:r w:rsidR="0000560B" w:rsidRPr="00193833">
        <w:rPr>
          <w:rFonts w:ascii="Times" w:hAnsi="Times"/>
        </w:rPr>
        <w:t xml:space="preserve"> </w:t>
      </w:r>
      <w:proofErr w:type="spellStart"/>
      <w:r w:rsidR="0000560B" w:rsidRPr="00096BC5">
        <w:rPr>
          <w:rFonts w:ascii="Times" w:hAnsi="Times"/>
        </w:rPr>
        <w:t>Dezfouli</w:t>
      </w:r>
      <w:proofErr w:type="spellEnd"/>
      <w:r w:rsidR="0000560B" w:rsidRPr="00096BC5">
        <w:rPr>
          <w:rFonts w:ascii="Times" w:hAnsi="Times"/>
        </w:rPr>
        <w:t xml:space="preserve"> and colleagues’ model</w:t>
      </w:r>
      <w:r w:rsidR="0000560B" w:rsidRPr="00193833">
        <w:rPr>
          <w:rFonts w:ascii="Times" w:hAnsi="Times"/>
        </w:rPr>
        <w:t xml:space="preserve"> </w:t>
      </w:r>
      <w:r w:rsidR="003B6FE7">
        <w:rPr>
          <w:rFonts w:ascii="Times" w:hAnsi="Times"/>
        </w:rPr>
        <w:t>of action sequencing provide</w:t>
      </w:r>
      <w:r w:rsidR="0000560B" w:rsidRPr="00193833">
        <w:rPr>
          <w:rFonts w:ascii="Times" w:hAnsi="Times"/>
        </w:rPr>
        <w:t xml:space="preserve"> an alternative interpretation of </w:t>
      </w:r>
      <w:r w:rsidR="0000560B" w:rsidRPr="00096BC5">
        <w:rPr>
          <w:rFonts w:ascii="Times" w:hAnsi="Times"/>
        </w:rPr>
        <w:t>our data</w:t>
      </w:r>
      <w:r>
        <w:rPr>
          <w:rFonts w:ascii="Times" w:hAnsi="Times"/>
        </w:rPr>
        <w:t>, which indicates</w:t>
      </w:r>
      <w:r w:rsidR="0000560B" w:rsidRPr="00193833">
        <w:rPr>
          <w:rFonts w:ascii="Times" w:hAnsi="Times"/>
        </w:rPr>
        <w:t xml:space="preserve"> genuine model-free control a</w:t>
      </w:r>
      <w:r>
        <w:rPr>
          <w:rFonts w:ascii="Times" w:hAnsi="Times"/>
        </w:rPr>
        <w:t>t the highest level of our task?</w:t>
      </w:r>
      <w:r w:rsidR="0000560B" w:rsidRPr="00193833">
        <w:rPr>
          <w:rFonts w:ascii="Times" w:hAnsi="Times"/>
        </w:rPr>
        <w:t xml:space="preserve">  It does not</w:t>
      </w:r>
      <w:r w:rsidR="003B6FE7">
        <w:rPr>
          <w:rFonts w:ascii="Times" w:hAnsi="Times"/>
        </w:rPr>
        <w:t>: T</w:t>
      </w:r>
      <w:r w:rsidR="00193833" w:rsidRPr="00193833">
        <w:rPr>
          <w:rFonts w:ascii="Times" w:hAnsi="Times"/>
        </w:rPr>
        <w:t xml:space="preserve">he concept of “action </w:t>
      </w:r>
      <w:r w:rsidR="00193833" w:rsidRPr="00D01CCE">
        <w:rPr>
          <w:rFonts w:ascii="Times" w:hAnsi="Times"/>
          <w:i/>
        </w:rPr>
        <w:t>sequences</w:t>
      </w:r>
      <w:r w:rsidR="00193833" w:rsidRPr="00193833">
        <w:rPr>
          <w:rFonts w:ascii="Times" w:hAnsi="Times"/>
        </w:rPr>
        <w:t xml:space="preserve">” does not apply to the critical trials of our Experiments 2a-b, which involve novel sets of numbers to be summed. </w:t>
      </w:r>
    </w:p>
    <w:p w14:paraId="2E374E29" w14:textId="77777777" w:rsidR="003B6FE7" w:rsidRDefault="003B6FE7" w:rsidP="0087799B">
      <w:pPr>
        <w:rPr>
          <w:rFonts w:ascii="Times" w:hAnsi="Times"/>
        </w:rPr>
      </w:pPr>
    </w:p>
    <w:p w14:paraId="1ABE4227" w14:textId="77777777" w:rsidR="003B6FE7" w:rsidRDefault="003B6FE7" w:rsidP="0087799B">
      <w:pPr>
        <w:rPr>
          <w:rFonts w:ascii="Times" w:hAnsi="Times"/>
        </w:rPr>
      </w:pPr>
      <w:r>
        <w:rPr>
          <w:rFonts w:ascii="Times" w:hAnsi="Times"/>
        </w:rPr>
        <w:t xml:space="preserve">Our data would contradict the strong claim that </w:t>
      </w:r>
      <w:r>
        <w:rPr>
          <w:rFonts w:ascii="Times" w:hAnsi="Times"/>
          <w:i/>
        </w:rPr>
        <w:t>no processes of model-free value assignment exist</w:t>
      </w:r>
      <w:r>
        <w:rPr>
          <w:rFonts w:ascii="Times" w:hAnsi="Times"/>
        </w:rPr>
        <w:t xml:space="preserve">, and that </w:t>
      </w:r>
      <w:r w:rsidRPr="003B6FE7">
        <w:rPr>
          <w:rFonts w:ascii="Times" w:hAnsi="Times"/>
          <w:i/>
        </w:rPr>
        <w:t>any</w:t>
      </w:r>
      <w:r>
        <w:rPr>
          <w:rFonts w:ascii="Times" w:hAnsi="Times"/>
        </w:rPr>
        <w:t xml:space="preserve"> such influences can be captured by model-based valuation of action sequences.  However, we do not find that </w:t>
      </w:r>
      <w:proofErr w:type="spellStart"/>
      <w:r>
        <w:rPr>
          <w:rFonts w:ascii="Times" w:hAnsi="Times"/>
        </w:rPr>
        <w:t>Dezfouli</w:t>
      </w:r>
      <w:proofErr w:type="spellEnd"/>
      <w:r>
        <w:rPr>
          <w:rFonts w:ascii="Times" w:hAnsi="Times"/>
        </w:rPr>
        <w:t xml:space="preserve"> and all make such a strong claim.  E.g., in their 2013 publication in PLOS CB, they write “… here we assumed</w:t>
      </w:r>
      <w:proofErr w:type="gramStart"/>
      <w:r>
        <w:rPr>
          <w:rFonts w:ascii="Times" w:hAnsi="Times"/>
        </w:rPr>
        <w:t>..</w:t>
      </w:r>
      <w:proofErr w:type="gramEnd"/>
      <w:r>
        <w:rPr>
          <w:rFonts w:ascii="Times" w:hAnsi="Times"/>
        </w:rPr>
        <w:t xml:space="preserve"> </w:t>
      </w:r>
      <w:proofErr w:type="gramStart"/>
      <w:r>
        <w:rPr>
          <w:rFonts w:ascii="Times" w:hAnsi="Times"/>
        </w:rPr>
        <w:t>action</w:t>
      </w:r>
      <w:proofErr w:type="gramEnd"/>
      <w:r>
        <w:rPr>
          <w:rFonts w:ascii="Times" w:hAnsi="Times"/>
        </w:rPr>
        <w:t xml:space="preserve"> sequences are also under goal-directed control.  Alternatively, it is possible that the value of any action sequence is learned in a model-free manner… Our results are silent with respect to this latter assumption</w:t>
      </w:r>
      <w:r w:rsidR="00420C7A">
        <w:rPr>
          <w:rFonts w:ascii="Times" w:hAnsi="Times"/>
        </w:rPr>
        <w:t xml:space="preserve">”.  </w:t>
      </w:r>
    </w:p>
    <w:p w14:paraId="0FFCA20B" w14:textId="77777777" w:rsidR="00420C7A" w:rsidRDefault="00420C7A" w:rsidP="0087799B">
      <w:pPr>
        <w:rPr>
          <w:rFonts w:ascii="Times" w:hAnsi="Times"/>
        </w:rPr>
      </w:pPr>
    </w:p>
    <w:p w14:paraId="69E14B99" w14:textId="77777777" w:rsidR="00420C7A" w:rsidRPr="003B6FE7" w:rsidRDefault="00420C7A" w:rsidP="0087799B">
      <w:pPr>
        <w:rPr>
          <w:rFonts w:ascii="Times" w:hAnsi="Times"/>
        </w:rPr>
      </w:pPr>
      <w:r>
        <w:rPr>
          <w:rFonts w:ascii="Times" w:hAnsi="Times"/>
        </w:rPr>
        <w:t xml:space="preserve">Our data provides strong evidence for model-free control over options (in this case, options defined by goals), and it cannot be explained by model-based control over options. As we have noted, however, we believe that model-based control over options may be exercised in other contexts, consistent with </w:t>
      </w:r>
      <w:proofErr w:type="spellStart"/>
      <w:r>
        <w:rPr>
          <w:rFonts w:ascii="Times" w:hAnsi="Times"/>
        </w:rPr>
        <w:t>Dezfouli</w:t>
      </w:r>
      <w:proofErr w:type="spellEnd"/>
      <w:r>
        <w:rPr>
          <w:rFonts w:ascii="Times" w:hAnsi="Times"/>
        </w:rPr>
        <w:t xml:space="preserve"> and colleagues’ model. </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w:t>
      </w:r>
      <w:r w:rsidRPr="00193833">
        <w:rPr>
          <w:rFonts w:ascii="Times" w:hAnsi="Times"/>
          <w:i/>
        </w:rPr>
        <w:lastRenderedPageBreak/>
        <w:t xml:space="preserve">necessary in any case since win-stay-lose-shift is to my mind a bona fide instance of model-free learning (it just arises in the limit as learning rates approach 1). </w:t>
      </w:r>
    </w:p>
    <w:p w14:paraId="1681A642" w14:textId="77777777" w:rsidR="0087799B" w:rsidRPr="00193833" w:rsidRDefault="0087799B" w:rsidP="0087799B">
      <w:pPr>
        <w:rPr>
          <w:rFonts w:ascii="Times" w:hAnsi="Times"/>
        </w:rPr>
      </w:pPr>
    </w:p>
    <w:p w14:paraId="06D3FF4E" w14:textId="77777777" w:rsidR="0087799B" w:rsidRPr="00193833" w:rsidRDefault="00935822" w:rsidP="0087799B">
      <w:pPr>
        <w:rPr>
          <w:rFonts w:ascii="Times" w:hAnsi="Times"/>
          <w:color w:val="C0504D" w:themeColor="accent2"/>
        </w:rPr>
      </w:pPr>
      <w:commentRangeStart w:id="3"/>
      <w:r w:rsidRPr="00193833">
        <w:rPr>
          <w:rFonts w:ascii="Times" w:hAnsi="Times"/>
          <w:color w:val="C0504D" w:themeColor="accent2"/>
        </w:rPr>
        <w:t xml:space="preserve">Did he just miss the point that we analyzed rewards and losses separately?  Or is the point that we need to control for reward </w:t>
      </w:r>
      <w:r w:rsidRPr="00193833">
        <w:rPr>
          <w:rFonts w:ascii="Times" w:hAnsi="Times"/>
          <w:i/>
          <w:color w:val="C0504D" w:themeColor="accent2"/>
        </w:rPr>
        <w:t>magnitude</w:t>
      </w:r>
      <w:r w:rsidRPr="00193833">
        <w:rPr>
          <w:rFonts w:ascii="Times" w:hAnsi="Times"/>
          <w:color w:val="C0504D" w:themeColor="accent2"/>
        </w:rPr>
        <w:t xml:space="preserve"> within losses and gains?</w:t>
      </w:r>
      <w:commentRangeEnd w:id="3"/>
      <w:r w:rsidR="001B05E7">
        <w:rPr>
          <w:rStyle w:val="CommentReference"/>
        </w:rPr>
        <w:commentReference w:id="3"/>
      </w:r>
      <w:r w:rsidRPr="00193833">
        <w:rPr>
          <w:rFonts w:ascii="Times" w:hAnsi="Times"/>
          <w:color w:val="C0504D" w:themeColor="accent2"/>
        </w:rPr>
        <w:t xml:space="preserve">  If so, fine, let’s do that.  Even if he’s not worried about WSLS I think other readers might be, and since it’s all in the SI there’s not much reason </w:t>
      </w:r>
      <w:r w:rsidRPr="00193833">
        <w:rPr>
          <w:rFonts w:ascii="Times" w:hAnsi="Times"/>
          <w:i/>
          <w:color w:val="C0504D" w:themeColor="accent2"/>
        </w:rPr>
        <w:t>not</w:t>
      </w:r>
      <w:r w:rsidRPr="00193833">
        <w:rPr>
          <w:rFonts w:ascii="Times" w:hAnsi="Times"/>
          <w:color w:val="C0504D" w:themeColor="accent2"/>
        </w:rPr>
        <w:t xml:space="preserve"> to include it.</w:t>
      </w:r>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77777777" w:rsidR="00096BC5" w:rsidRPr="00096BC5" w:rsidRDefault="00096BC5" w:rsidP="0087799B">
      <w:pPr>
        <w:rPr>
          <w:rFonts w:ascii="Times" w:hAnsi="Times"/>
        </w:rPr>
      </w:pPr>
      <w:r>
        <w:rPr>
          <w:rFonts w:ascii="Times" w:hAnsi="Times"/>
        </w:rPr>
        <w:t xml:space="preserve">As discussed above in reply to Reviewer 1, we agree that this past work has an important place in our manuscript and </w:t>
      </w:r>
      <w:r w:rsidRPr="00364DEB">
        <w:rPr>
          <w:rFonts w:ascii="Times" w:hAnsi="Times"/>
          <w:color w:val="C0504D" w:themeColor="accent2"/>
        </w:rPr>
        <w:t>have revised it accordingly</w:t>
      </w:r>
      <w:r>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4F7DEEA9" w14:textId="77777777" w:rsidR="00096BC5" w:rsidRPr="00096BC5" w:rsidRDefault="00096BC5" w:rsidP="0087799B">
      <w:pPr>
        <w:rPr>
          <w:rFonts w:ascii="Times" w:hAnsi="Times"/>
          <w:color w:val="C0504D" w:themeColor="accent2"/>
        </w:rPr>
      </w:pPr>
      <w:r>
        <w:rPr>
          <w:rFonts w:ascii="Times" w:hAnsi="Times"/>
          <w:color w:val="C0504D" w:themeColor="accent2"/>
        </w:rPr>
        <w:t>Fit a model.</w:t>
      </w:r>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0890DDBD" w14:textId="77777777" w:rsidR="0087799B" w:rsidRPr="00193833" w:rsidRDefault="0087799B" w:rsidP="0087799B">
      <w:pPr>
        <w:rPr>
          <w:rFonts w:ascii="Times" w:hAnsi="Times"/>
        </w:rPr>
      </w:pPr>
    </w:p>
    <w:p w14:paraId="38975581" w14:textId="77777777" w:rsidR="00E3462E" w:rsidRDefault="00E3462E" w:rsidP="0087799B">
      <w:pPr>
        <w:rPr>
          <w:rFonts w:ascii="Times" w:hAnsi="Times"/>
        </w:rPr>
      </w:pPr>
      <w:r>
        <w:rPr>
          <w:rFonts w:ascii="Times" w:hAnsi="Times"/>
        </w:rPr>
        <w:t xml:space="preserve">We agree with Reviewer 2 that Experiments 1a-b do not provide strong evidence of this kind, and </w:t>
      </w:r>
      <w:r w:rsidRPr="00E3462E">
        <w:rPr>
          <w:rFonts w:ascii="Times" w:hAnsi="Times"/>
          <w:color w:val="C0504D" w:themeColor="accent2"/>
        </w:rPr>
        <w:t>we have revised the manuscript to emphasize this point</w:t>
      </w:r>
      <w:r>
        <w:rPr>
          <w:rFonts w:ascii="Times" w:hAnsi="Times"/>
        </w:rPr>
        <w:t xml:space="preserve">.  Importantly, </w:t>
      </w:r>
      <w:proofErr w:type="spellStart"/>
      <w:r>
        <w:rPr>
          <w:rFonts w:ascii="Times" w:hAnsi="Times"/>
        </w:rPr>
        <w:t>Expeirments</w:t>
      </w:r>
      <w:proofErr w:type="spellEnd"/>
      <w:r>
        <w:rPr>
          <w:rFonts w:ascii="Times" w:hAnsi="Times"/>
        </w:rPr>
        <w:t xml:space="preserve"> 2a-b </w:t>
      </w:r>
      <w:proofErr w:type="gramStart"/>
      <w:r>
        <w:rPr>
          <w:rFonts w:ascii="Times" w:hAnsi="Times"/>
        </w:rPr>
        <w:t>provide</w:t>
      </w:r>
      <w:proofErr w:type="gramEnd"/>
      <w:r>
        <w:rPr>
          <w:rFonts w:ascii="Times" w:hAnsi="Times"/>
        </w:rPr>
        <w:t xml:space="preserve"> the requisite evidence, as we have noted above in our reply to Reviewer 1.</w:t>
      </w:r>
    </w:p>
    <w:p w14:paraId="20B81865" w14:textId="77777777" w:rsidR="00E3462E" w:rsidRDefault="00E3462E" w:rsidP="0087799B">
      <w:pPr>
        <w:rPr>
          <w:rFonts w:ascii="Times" w:hAnsi="Times"/>
        </w:rPr>
      </w:pPr>
    </w:p>
    <w:p w14:paraId="518CAF0F" w14:textId="77777777" w:rsidR="006F739C" w:rsidRDefault="00E3462E" w:rsidP="00E3462E">
      <w:pPr>
        <w:rPr>
          <w:rFonts w:ascii="Times" w:hAnsi="Times"/>
        </w:rPr>
      </w:pPr>
      <w:commentRangeStart w:id="4"/>
      <w:r>
        <w:rPr>
          <w:rFonts w:ascii="Times" w:hAnsi="Times"/>
        </w:rPr>
        <w:t>(Of course, a</w:t>
      </w:r>
      <w:r w:rsidR="006F739C">
        <w:rPr>
          <w:rFonts w:ascii="Times" w:hAnsi="Times"/>
        </w:rPr>
        <w:t xml:space="preserve">s a general matter, we believe that in different contexts both model-based and model-free control will be exercised at superordinate levels of hierarchical </w:t>
      </w:r>
      <w:r w:rsidR="006F739C">
        <w:rPr>
          <w:rFonts w:ascii="Times" w:hAnsi="Times"/>
        </w:rPr>
        <w:lastRenderedPageBreak/>
        <w:t>organization.  We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Pr>
          <w:rFonts w:ascii="Times" w:hAnsi="Times"/>
        </w:rPr>
        <w:t>ree control (which is the focus</w:t>
      </w:r>
      <w:r w:rsidR="006F739C">
        <w:rPr>
          <w:rFonts w:ascii="Times" w:hAnsi="Times"/>
        </w:rPr>
        <w:t xml:space="preserve"> of our manuscript).</w:t>
      </w:r>
      <w:r>
        <w:rPr>
          <w:rFonts w:ascii="Times" w:hAnsi="Times"/>
        </w:rPr>
        <w:t>)</w:t>
      </w:r>
      <w:r w:rsidR="006F739C">
        <w:rPr>
          <w:rFonts w:ascii="Times" w:hAnsi="Times"/>
        </w:rPr>
        <w:t xml:space="preserve"> </w:t>
      </w:r>
      <w:commentRangeEnd w:id="4"/>
      <w:r w:rsidR="001B05E7">
        <w:rPr>
          <w:rStyle w:val="CommentReference"/>
        </w:rPr>
        <w:commentReference w:id="4"/>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the </w:t>
      </w:r>
      <w:proofErr w:type="spellStart"/>
      <w:r w:rsidRPr="00193833">
        <w:rPr>
          <w:rFonts w:ascii="Times" w:hAnsi="Times"/>
          <w:i/>
        </w:rPr>
        <w:t>the</w:t>
      </w:r>
      <w:proofErr w:type="spell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this was not highlighted by the authors in either version of the </w:t>
      </w:r>
      <w:proofErr w:type="spellStart"/>
      <w:r w:rsidRPr="00193833">
        <w:rPr>
          <w:rFonts w:ascii="Times" w:hAnsi="Times"/>
          <w:i/>
        </w:rPr>
        <w:t>ms.</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01F8FFCC" w14:textId="77777777" w:rsidR="0087799B" w:rsidRPr="00E3462E" w:rsidRDefault="00E3462E" w:rsidP="0087799B">
      <w:pPr>
        <w:rPr>
          <w:rFonts w:ascii="Times" w:hAnsi="Times"/>
        </w:rPr>
      </w:pPr>
      <w:r>
        <w:rPr>
          <w:rFonts w:ascii="Times" w:hAnsi="Times"/>
        </w:rPr>
        <w:t xml:space="preserve">Indeed, it is important to understand the nature of the intra-option policies.  In this comment, Reviewer 2 brings up Experiment 2 initially and then details a more specific critique of Experiment 1.  We agree with the critique of Experiment 1 and, crucially, Experiment 2 is designed to address it.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w:t>
      </w:r>
      <w:commentRangeStart w:id="5"/>
      <w:r>
        <w:rPr>
          <w:rFonts w:ascii="Times" w:hAnsi="Times"/>
        </w:rPr>
        <w:t xml:space="preserve">The use of fully novel actions requires that the intra-option policy be derived by model-based methods, and it precludes the possibility that the </w:t>
      </w:r>
      <w:r>
        <w:rPr>
          <w:rFonts w:ascii="Times" w:hAnsi="Times"/>
          <w:i/>
        </w:rPr>
        <w:t>same</w:t>
      </w:r>
      <w:r>
        <w:rPr>
          <w:rFonts w:ascii="Times" w:hAnsi="Times"/>
        </w:rPr>
        <w:t xml:space="preserve"> option policies are being invoked across instances.</w:t>
      </w:r>
      <w:commentRangeEnd w:id="5"/>
      <w:r w:rsidR="001B05E7">
        <w:rPr>
          <w:rStyle w:val="CommentReference"/>
        </w:rPr>
        <w:commentReference w:id="5"/>
      </w:r>
    </w:p>
    <w:p w14:paraId="4879E2BE" w14:textId="77777777" w:rsidR="0087799B" w:rsidRPr="00193833" w:rsidRDefault="0087799B" w:rsidP="0087799B">
      <w:pPr>
        <w:rPr>
          <w:rFonts w:ascii="Times" w:hAnsi="Times"/>
        </w:rPr>
      </w:pP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output which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C17FF03" w14:textId="77777777" w:rsidR="0087799B" w:rsidRPr="00193833" w:rsidRDefault="0087799B" w:rsidP="0087799B">
      <w:pPr>
        <w:rPr>
          <w:rFonts w:ascii="Times" w:hAnsi="Times"/>
          <w:color w:val="C0504D" w:themeColor="accent2"/>
        </w:rPr>
      </w:pPr>
      <w:commentRangeStart w:id="6"/>
      <w:r w:rsidRPr="00193833">
        <w:rPr>
          <w:rFonts w:ascii="Times" w:hAnsi="Times"/>
          <w:color w:val="C0504D" w:themeColor="accent2"/>
        </w:rPr>
        <w:t xml:space="preserve">I hadn’t really focused on it, but it is a little weird that we get a marginal effect without </w:t>
      </w:r>
      <w:proofErr w:type="spellStart"/>
      <w:r w:rsidRPr="00193833">
        <w:rPr>
          <w:rFonts w:ascii="Times" w:hAnsi="Times"/>
          <w:color w:val="C0504D" w:themeColor="accent2"/>
        </w:rPr>
        <w:t>MFonMB</w:t>
      </w:r>
      <w:proofErr w:type="spellEnd"/>
      <w:r w:rsidRPr="00193833">
        <w:rPr>
          <w:rFonts w:ascii="Times" w:hAnsi="Times"/>
          <w:color w:val="C0504D" w:themeColor="accent2"/>
        </w:rPr>
        <w:t>.  What is that all about?  If we run the simulation to death, does it go away?</w:t>
      </w:r>
      <w:commentRangeEnd w:id="6"/>
      <w:r w:rsidR="001B05E7">
        <w:rPr>
          <w:rStyle w:val="CommentReference"/>
        </w:rPr>
        <w:commentReference w:id="6"/>
      </w:r>
    </w:p>
    <w:p w14:paraId="7F9EE8CF" w14:textId="77777777" w:rsidR="0087799B" w:rsidRPr="00193833" w:rsidRDefault="0087799B" w:rsidP="0087799B">
      <w:pPr>
        <w:rPr>
          <w:rFonts w:ascii="Times" w:hAnsi="Times"/>
        </w:rPr>
      </w:pPr>
    </w:p>
    <w:p w14:paraId="0E563B6C" w14:textId="77777777" w:rsidR="0087799B" w:rsidRPr="00193833" w:rsidRDefault="0087799B" w:rsidP="0087799B">
      <w:pPr>
        <w:rPr>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1D325935" w14:textId="77777777" w:rsidR="00754D85" w:rsidRPr="00193833" w:rsidRDefault="00754D85">
      <w:pPr>
        <w:rPr>
          <w:rFonts w:ascii="Times" w:hAnsi="Times"/>
        </w:rPr>
      </w:pPr>
    </w:p>
    <w:p w14:paraId="2F94F7DC" w14:textId="77777777" w:rsidR="0087799B" w:rsidRPr="00193833" w:rsidRDefault="0087799B">
      <w:pPr>
        <w:rPr>
          <w:rFonts w:ascii="Times" w:hAnsi="Times"/>
        </w:rPr>
      </w:pPr>
      <w:commentRangeStart w:id="7"/>
      <w:r w:rsidRPr="00193833">
        <w:rPr>
          <w:rFonts w:ascii="Times" w:hAnsi="Times"/>
          <w:color w:val="C0504D" w:themeColor="accent2"/>
        </w:rPr>
        <w:t>Adam – can you find a way to make this</w:t>
      </w:r>
      <w:r w:rsidR="009908A8">
        <w:rPr>
          <w:rFonts w:ascii="Times" w:hAnsi="Times"/>
          <w:color w:val="C0504D" w:themeColor="accent2"/>
        </w:rPr>
        <w:t xml:space="preserve"> notation</w:t>
      </w:r>
      <w:r w:rsidRPr="00193833">
        <w:rPr>
          <w:rFonts w:ascii="Times" w:hAnsi="Times"/>
          <w:color w:val="C0504D" w:themeColor="accent2"/>
        </w:rPr>
        <w:t xml:space="preserve"> </w:t>
      </w:r>
      <w:proofErr w:type="gramStart"/>
      <w:r w:rsidRPr="00193833">
        <w:rPr>
          <w:rFonts w:ascii="Times" w:hAnsi="Times"/>
          <w:color w:val="C0504D" w:themeColor="accent2"/>
        </w:rPr>
        <w:t>more clear</w:t>
      </w:r>
      <w:proofErr w:type="gramEnd"/>
      <w:r w:rsidRPr="00193833">
        <w:rPr>
          <w:rFonts w:ascii="Times" w:hAnsi="Times"/>
          <w:color w:val="C0504D" w:themeColor="accent2"/>
        </w:rPr>
        <w:t>?</w:t>
      </w:r>
      <w:commentRangeEnd w:id="7"/>
      <w:r w:rsidR="001B05E7">
        <w:rPr>
          <w:rStyle w:val="CommentReference"/>
        </w:rPr>
        <w:commentReference w:id="7"/>
      </w:r>
    </w:p>
    <w:sectPr w:rsidR="0087799B" w:rsidRPr="00193833" w:rsidSect="0087799B">
      <w:headerReference w:type="default" r:id="rId11"/>
      <w:headerReference w:type="first" r:id="rId12"/>
      <w:pgSz w:w="12240" w:h="15840"/>
      <w:pgMar w:top="1440" w:right="1800" w:bottom="1440" w:left="1800" w:header="720" w:footer="720"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am Morris" w:date="2015-08-14T09:48:00Z" w:initials="AM">
    <w:p w14:paraId="4AAD8B44" w14:textId="72810014" w:rsidR="00CC1EB3" w:rsidRDefault="00CC1EB3">
      <w:pPr>
        <w:pStyle w:val="CommentText"/>
      </w:pPr>
      <w:r>
        <w:rPr>
          <w:rStyle w:val="CommentReference"/>
        </w:rPr>
        <w:annotationRef/>
      </w:r>
      <w:r>
        <w:t>Sure, but do we want it sprinkled throughout or in a concentrated methods section at the end?</w:t>
      </w:r>
    </w:p>
  </w:comment>
  <w:comment w:id="2" w:author="Adam Morris" w:date="2015-08-14T09:54:00Z" w:initials="AM">
    <w:p w14:paraId="2E29F59A" w14:textId="58EE0C29" w:rsidR="00CC1EB3" w:rsidRPr="001B05E7" w:rsidRDefault="00CC1EB3">
      <w:pPr>
        <w:pStyle w:val="CommentText"/>
      </w:pPr>
      <w:r>
        <w:rPr>
          <w:rStyle w:val="CommentReference"/>
        </w:rPr>
        <w:annotationRef/>
      </w:r>
      <w:r>
        <w:t xml:space="preserve">It seems like our model could explain their data, if we accept that people can form full-length options (which </w:t>
      </w:r>
      <w:proofErr w:type="spellStart"/>
      <w:r>
        <w:t>Dezfouli</w:t>
      </w:r>
      <w:proofErr w:type="spellEnd"/>
      <w:r>
        <w:t xml:space="preserve"> et al insist). In fact, now that I think about it, the only thing their data show is that people can form full-length options; they don’t provide any evidence (I think?) about whether the intra- OR inter-option controller is MB or MF. </w:t>
      </w:r>
      <w:r w:rsidR="001B05E7">
        <w:t>(</w:t>
      </w:r>
      <w:r>
        <w:t>I’m still thinking about whether your new proposed experiment would help answer this.</w:t>
      </w:r>
      <w:r w:rsidR="001B05E7">
        <w:t xml:space="preserve">) Nonetheless, I agree that it’s best not to argue this in the reply to reviewers, because we’re focusing our manuscript </w:t>
      </w:r>
      <w:r w:rsidR="001B05E7">
        <w:rPr>
          <w:i/>
        </w:rPr>
        <w:t xml:space="preserve">away </w:t>
      </w:r>
      <w:r w:rsidR="001B05E7">
        <w:t>from the possibility of full-length options.</w:t>
      </w:r>
    </w:p>
    <w:p w14:paraId="502167BA" w14:textId="77777777" w:rsidR="00CC1EB3" w:rsidRDefault="00CC1EB3">
      <w:pPr>
        <w:pStyle w:val="CommentText"/>
      </w:pPr>
    </w:p>
    <w:p w14:paraId="59ECE491" w14:textId="01F09EC2" w:rsidR="00CC1EB3" w:rsidRDefault="00CC1EB3">
      <w:pPr>
        <w:pStyle w:val="CommentText"/>
      </w:pPr>
      <w:r>
        <w:t xml:space="preserve">I’m also pretty confused about the experiment in their </w:t>
      </w:r>
      <w:proofErr w:type="spellStart"/>
      <w:r>
        <w:t>PloS</w:t>
      </w:r>
      <w:proofErr w:type="spellEnd"/>
      <w:r>
        <w:t xml:space="preserve"> CB paper. In order for their action sequencing thing to work, they have to believe that people are treating the two second-stage A1s (and A2s) as equivalent. But if that’s true, then you have the problem of learned equivalence, and people are just transferring the model-free value across states… See what I mean?</w:t>
      </w:r>
      <w:r w:rsidR="00FD0B9F">
        <w:t xml:space="preserve"> Am I missing something?</w:t>
      </w:r>
    </w:p>
  </w:comment>
  <w:comment w:id="3" w:author="Adam Morris" w:date="2015-08-14T09:59:00Z" w:initials="AM">
    <w:p w14:paraId="3F555DA8" w14:textId="49FE6CDF" w:rsidR="001B05E7" w:rsidRDefault="001B05E7">
      <w:pPr>
        <w:pStyle w:val="CommentText"/>
      </w:pPr>
      <w:r>
        <w:rPr>
          <w:rStyle w:val="CommentReference"/>
        </w:rPr>
        <w:annotationRef/>
      </w:r>
      <w:r>
        <w:t xml:space="preserve">What he’s saying is that we controlled for participant choice on the first trial, but not the </w:t>
      </w:r>
      <w:r>
        <w:rPr>
          <w:i/>
        </w:rPr>
        <w:t xml:space="preserve">reinforcement </w:t>
      </w:r>
      <w:r w:rsidRPr="001B05E7">
        <w:rPr>
          <w:i/>
        </w:rPr>
        <w:t>received</w:t>
      </w:r>
      <w:r>
        <w:t xml:space="preserve"> on the first trial (which, if the person stayed on the first trial, would be correlated </w:t>
      </w:r>
      <w:proofErr w:type="gramStart"/>
      <w:r>
        <w:t>with  the</w:t>
      </w:r>
      <w:proofErr w:type="gramEnd"/>
      <w:r>
        <w:t xml:space="preserve"> reinforcement on the setup trial – our </w:t>
      </w:r>
      <w:proofErr w:type="spellStart"/>
      <w:r>
        <w:t>regressor</w:t>
      </w:r>
      <w:proofErr w:type="spellEnd"/>
      <w:r>
        <w:t xml:space="preserve"> of interest). Is that right? It seems like it would be easy to just run another analysis, controlling for that.</w:t>
      </w:r>
    </w:p>
  </w:comment>
  <w:comment w:id="4" w:author="Adam Morris" w:date="2015-08-14T09:59:00Z" w:initials="AM">
    <w:p w14:paraId="40A38C3D" w14:textId="32892ECC" w:rsidR="001B05E7" w:rsidRDefault="001B05E7">
      <w:pPr>
        <w:pStyle w:val="CommentText"/>
      </w:pPr>
      <w:r>
        <w:rPr>
          <w:rStyle w:val="CommentReference"/>
        </w:rPr>
        <w:annotationRef/>
      </w:r>
      <w:r>
        <w:t>Should we emphasize the fact that the positive proof hasn’t been shown before?</w:t>
      </w:r>
    </w:p>
  </w:comment>
  <w:comment w:id="5" w:author="Adam Morris" w:date="2015-08-14T10:00:00Z" w:initials="AM">
    <w:p w14:paraId="53D51762" w14:textId="571E5FFF" w:rsidR="001B05E7" w:rsidRDefault="001B05E7">
      <w:pPr>
        <w:pStyle w:val="CommentText"/>
      </w:pPr>
      <w:r>
        <w:rPr>
          <w:rStyle w:val="CommentReference"/>
        </w:rPr>
        <w:annotationRef/>
      </w:r>
      <w:r>
        <w:rPr>
          <w:rStyle w:val="CommentReference"/>
        </w:rPr>
        <w:t>Like you said before, I’m afraid we’re missing a deeper point here. (S</w:t>
      </w:r>
      <w:proofErr w:type="gramStart"/>
      <w:r>
        <w:rPr>
          <w:rStyle w:val="CommentReference"/>
        </w:rPr>
        <w:t>)he</w:t>
      </w:r>
      <w:proofErr w:type="gramEnd"/>
      <w:r>
        <w:rPr>
          <w:rStyle w:val="CommentReference"/>
        </w:rPr>
        <w:t xml:space="preserve"> can’t have missed this…</w:t>
      </w:r>
    </w:p>
  </w:comment>
  <w:comment w:id="6" w:author="Adam Morris" w:date="2015-08-14T10:01:00Z" w:initials="AM">
    <w:p w14:paraId="43559367" w14:textId="4ECF5918" w:rsidR="001B05E7" w:rsidRDefault="001B05E7">
      <w:pPr>
        <w:pStyle w:val="CommentText"/>
      </w:pPr>
      <w:r>
        <w:rPr>
          <w:rStyle w:val="CommentReference"/>
        </w:rPr>
        <w:annotationRef/>
      </w:r>
      <w:r>
        <w:t>I’ll re-run them &amp; see if it’s just a fluke.</w:t>
      </w:r>
    </w:p>
  </w:comment>
  <w:comment w:id="7" w:author="Adam Morris" w:date="2015-08-14T10:01:00Z" w:initials="AM">
    <w:p w14:paraId="0399D3B3" w14:textId="0EA2589C" w:rsidR="001B05E7" w:rsidRDefault="001B05E7">
      <w:pPr>
        <w:pStyle w:val="CommentText"/>
      </w:pPr>
      <w:r>
        <w:rPr>
          <w:rStyle w:val="CommentReference"/>
        </w:rPr>
        <w:annotationRef/>
      </w:r>
      <w:r>
        <w:t>I’ll do my best, but it seemed clear when I re-read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AE606" w14:textId="77777777" w:rsidR="00F66BB0" w:rsidRDefault="00F66BB0" w:rsidP="0087799B">
      <w:r>
        <w:separator/>
      </w:r>
    </w:p>
  </w:endnote>
  <w:endnote w:type="continuationSeparator" w:id="0">
    <w:p w14:paraId="05A3CB63" w14:textId="77777777" w:rsidR="00F66BB0" w:rsidRDefault="00F66BB0"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oefler Text">
    <w:altName w:val="Constantia"/>
    <w:charset w:val="00"/>
    <w:family w:val="auto"/>
    <w:pitch w:val="variable"/>
    <w:sig w:usb0="00000001" w:usb1="5000204B" w:usb2="00000004" w:usb3="00000000" w:csb0="00000197"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2E517" w14:textId="77777777" w:rsidR="00F66BB0" w:rsidRDefault="00F66BB0" w:rsidP="0087799B">
      <w:r>
        <w:separator/>
      </w:r>
    </w:p>
  </w:footnote>
  <w:footnote w:type="continuationSeparator" w:id="0">
    <w:p w14:paraId="744EC523" w14:textId="77777777" w:rsidR="00F66BB0" w:rsidRDefault="00F66BB0" w:rsidP="0087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6F739C" w:rsidRDefault="006F739C" w:rsidP="0087799B">
    <w:pPr>
      <w:pStyle w:val="Header"/>
    </w:pPr>
  </w:p>
  <w:p w14:paraId="2FD5D5EF" w14:textId="77777777" w:rsidR="006F739C" w:rsidRDefault="006F7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6F739C" w:rsidRDefault="006F739C" w:rsidP="0087799B"/>
  <w:p w14:paraId="3F5732C7" w14:textId="77777777" w:rsidR="006F739C" w:rsidRPr="00830C49" w:rsidRDefault="006F739C"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6F739C" w:rsidRPr="00120334" w:rsidRDefault="006F739C" w:rsidP="0087799B">
    <w:pPr>
      <w:jc w:val="center"/>
      <w:rPr>
        <w:rFonts w:ascii="Hoefler Text" w:hAnsi="Hoefler Text"/>
      </w:rPr>
    </w:pPr>
    <w:r w:rsidRPr="00120334">
      <w:rPr>
        <w:rFonts w:ascii="Hoefler Text" w:hAnsi="Hoefler Text"/>
      </w:rPr>
      <w:t>DEPARTMENT OF PSYCHOLOGY</w:t>
    </w:r>
  </w:p>
  <w:p w14:paraId="35CBA6EF" w14:textId="77777777" w:rsidR="006F739C" w:rsidRPr="00EE5F93" w:rsidRDefault="006F739C"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6F739C" w:rsidRDefault="006F739C" w:rsidP="0087799B">
    <w:pPr>
      <w:rPr>
        <w:b/>
        <w:sz w:val="32"/>
        <w:szCs w:val="32"/>
      </w:rPr>
    </w:pPr>
  </w:p>
  <w:p w14:paraId="239219CE" w14:textId="77777777" w:rsidR="006F739C" w:rsidRPr="00830C49" w:rsidRDefault="006F739C"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6F739C" w:rsidRPr="00BF217D" w:rsidRDefault="006F739C"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6F739C" w:rsidRDefault="006F73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96BC5"/>
    <w:rsid w:val="00193833"/>
    <w:rsid w:val="001B05E7"/>
    <w:rsid w:val="00364DEB"/>
    <w:rsid w:val="003B6FE7"/>
    <w:rsid w:val="00420C7A"/>
    <w:rsid w:val="00432E88"/>
    <w:rsid w:val="0055276E"/>
    <w:rsid w:val="005C5DEB"/>
    <w:rsid w:val="006577E0"/>
    <w:rsid w:val="006F739C"/>
    <w:rsid w:val="00754D85"/>
    <w:rsid w:val="007F0923"/>
    <w:rsid w:val="0087799B"/>
    <w:rsid w:val="00883A4F"/>
    <w:rsid w:val="0091064D"/>
    <w:rsid w:val="00935822"/>
    <w:rsid w:val="009908A8"/>
    <w:rsid w:val="009C5A55"/>
    <w:rsid w:val="00AD6D76"/>
    <w:rsid w:val="00CC1EB3"/>
    <w:rsid w:val="00D01CCE"/>
    <w:rsid w:val="00DB70F9"/>
    <w:rsid w:val="00E3462E"/>
    <w:rsid w:val="00E964F1"/>
    <w:rsid w:val="00F66BB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semiHidden/>
    <w:unhideWhenUsed/>
    <w:rsid w:val="00CC1EB3"/>
    <w:rPr>
      <w:sz w:val="20"/>
    </w:rPr>
  </w:style>
  <w:style w:type="character" w:customStyle="1" w:styleId="CommentTextChar">
    <w:name w:val="Comment Text Char"/>
    <w:basedOn w:val="DefaultParagraphFont"/>
    <w:link w:val="CommentText"/>
    <w:uiPriority w:val="99"/>
    <w:semiHidden/>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semiHidden/>
    <w:unhideWhenUsed/>
    <w:rsid w:val="00CC1EB3"/>
    <w:rPr>
      <w:sz w:val="20"/>
    </w:rPr>
  </w:style>
  <w:style w:type="character" w:customStyle="1" w:styleId="CommentTextChar">
    <w:name w:val="Comment Text Char"/>
    <w:basedOn w:val="DefaultParagraphFont"/>
    <w:link w:val="CommentText"/>
    <w:uiPriority w:val="99"/>
    <w:semiHidden/>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BC1D0-4769-4EDA-AC39-51EF1496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1837</Words>
  <Characters>10476</Characters>
  <Application>Microsoft Office Word</Application>
  <DocSecurity>0</DocSecurity>
  <Lines>87</Lines>
  <Paragraphs>24</Paragraphs>
  <ScaleCrop>false</ScaleCrop>
  <Company>Harvard University</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Adam Morris</cp:lastModifiedBy>
  <cp:revision>6</cp:revision>
  <dcterms:created xsi:type="dcterms:W3CDTF">2015-08-13T12:40:00Z</dcterms:created>
  <dcterms:modified xsi:type="dcterms:W3CDTF">2015-08-14T14:01:00Z</dcterms:modified>
</cp:coreProperties>
</file>