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6291" w14:textId="77777777" w:rsidR="00F77AC1" w:rsidRPr="00F77AC1" w:rsidRDefault="00F77AC1" w:rsidP="00F77AC1">
      <w:pPr>
        <w:rPr>
          <w:rFonts w:ascii="Times New Roman" w:hAnsi="Times New Roman" w:cs="Times New Roman"/>
          <w:b/>
          <w:bCs/>
          <w:sz w:val="28"/>
          <w:szCs w:val="28"/>
        </w:rPr>
      </w:pPr>
      <w:r w:rsidRPr="00F77AC1">
        <w:rPr>
          <w:rFonts w:ascii="Times New Roman" w:hAnsi="Times New Roman" w:cs="Times New Roman"/>
          <w:b/>
          <w:bCs/>
          <w:sz w:val="28"/>
          <w:szCs w:val="28"/>
        </w:rPr>
        <w:t>EMA</w:t>
      </w:r>
    </w:p>
    <w:p w14:paraId="6A5B13EA" w14:textId="77777777" w:rsidR="00F77AC1" w:rsidRPr="00F77AC1" w:rsidRDefault="00F77AC1" w:rsidP="00F77AC1">
      <w:pPr>
        <w:rPr>
          <w:rFonts w:ascii="Times New Roman" w:hAnsi="Times New Roman" w:cs="Times New Roman"/>
        </w:rPr>
      </w:pPr>
      <w:r w:rsidRPr="00F77AC1">
        <w:rPr>
          <w:rFonts w:ascii="Times New Roman" w:hAnsi="Times New Roman" w:cs="Times New Roman"/>
        </w:rPr>
        <w:t>I am trying to determine which EMA methodologies are most appropriate to persist within ta_lab2. There are many valid ways to compute an EMA series, and there is surprisingly little formal literature that clearly defines a single “correct” approach.</w:t>
      </w:r>
    </w:p>
    <w:p w14:paraId="4317DD89" w14:textId="77777777" w:rsidR="00F77AC1" w:rsidRPr="00F77AC1" w:rsidRDefault="00F77AC1" w:rsidP="00F77AC1">
      <w:pPr>
        <w:rPr>
          <w:rFonts w:ascii="Times New Roman" w:hAnsi="Times New Roman" w:cs="Times New Roman"/>
        </w:rPr>
      </w:pPr>
      <w:r w:rsidRPr="00F77AC1">
        <w:rPr>
          <w:rFonts w:ascii="Times New Roman" w:hAnsi="Times New Roman" w:cs="Times New Roman"/>
        </w:rPr>
        <w:t xml:space="preserve">The word appropriate is used deliberately for its ambiguity. An EMA’s suitability depends on </w:t>
      </w:r>
      <w:proofErr w:type="gramStart"/>
      <w:r w:rsidRPr="00F77AC1">
        <w:rPr>
          <w:rFonts w:ascii="Times New Roman" w:hAnsi="Times New Roman" w:cs="Times New Roman"/>
        </w:rPr>
        <w:t>a number of</w:t>
      </w:r>
      <w:proofErr w:type="gramEnd"/>
      <w:r w:rsidRPr="00F77AC1">
        <w:rPr>
          <w:rFonts w:ascii="Times New Roman" w:hAnsi="Times New Roman" w:cs="Times New Roman"/>
        </w:rPr>
        <w:t xml:space="preserve"> design choices and downstream use cases that are not always explicitly defined. In this context, the primary purpose of an EMA series is to measure trend, identify potential support and resistance levels in time series data, and provide a smooth representation of price dynamics across different time horizons. Changes in the slope and acceleration of an EMA can also be used as inputs to probabilistic studies aimed at forecasting future movements in the underlying series.</w:t>
      </w:r>
    </w:p>
    <w:p w14:paraId="059AAF55" w14:textId="77777777" w:rsidR="00F77AC1" w:rsidRPr="00F77AC1" w:rsidRDefault="00F77AC1" w:rsidP="00F77AC1">
      <w:pPr>
        <w:rPr>
          <w:rFonts w:ascii="Times New Roman" w:hAnsi="Times New Roman" w:cs="Times New Roman"/>
          <w:b/>
          <w:bCs/>
        </w:rPr>
      </w:pPr>
      <w:r w:rsidRPr="00F77AC1">
        <w:rPr>
          <w:rFonts w:ascii="Times New Roman" w:hAnsi="Times New Roman" w:cs="Times New Roman"/>
          <w:b/>
          <w:bCs/>
        </w:rPr>
        <w:t>Seeding</w:t>
      </w:r>
    </w:p>
    <w:p w14:paraId="1A450C33" w14:textId="77777777" w:rsidR="00F77AC1" w:rsidRPr="00F77AC1" w:rsidRDefault="00F77AC1" w:rsidP="00F77AC1">
      <w:pPr>
        <w:rPr>
          <w:rFonts w:ascii="Times New Roman" w:hAnsi="Times New Roman" w:cs="Times New Roman"/>
        </w:rPr>
      </w:pPr>
      <w:r w:rsidRPr="00F77AC1">
        <w:rPr>
          <w:rFonts w:ascii="Times New Roman" w:hAnsi="Times New Roman" w:cs="Times New Roman"/>
        </w:rPr>
        <w:t>There are two main schools of thought when it comes to seeding an EMA.</w:t>
      </w:r>
    </w:p>
    <w:p w14:paraId="65F1BC78" w14:textId="092A6513" w:rsidR="00F77AC1" w:rsidRPr="00F77AC1" w:rsidRDefault="00F77AC1" w:rsidP="00F77AC1">
      <w:pPr>
        <w:rPr>
          <w:rFonts w:ascii="Times New Roman" w:hAnsi="Times New Roman" w:cs="Times New Roman"/>
        </w:rPr>
      </w:pPr>
      <w:r w:rsidRPr="00F77AC1">
        <w:rPr>
          <w:rFonts w:ascii="Times New Roman" w:hAnsi="Times New Roman" w:cs="Times New Roman"/>
        </w:rPr>
        <w:t>The first approach seeds the EMA using a simple moving average calculated over the canonical prices for the chosen period. For example, when calculating a 180-day, 10-period EMA, one would take the canonical closes at days,</w:t>
      </w:r>
      <w:r w:rsidRPr="00F77AC1">
        <w:t xml:space="preserve"> </w:t>
      </w:r>
      <w:r w:rsidRPr="00F77AC1">
        <w:rPr>
          <w:rFonts w:ascii="Times New Roman" w:hAnsi="Times New Roman" w:cs="Times New Roman"/>
        </w:rPr>
        <w:t>180,360,540,720,900,1080,1260,1440,1620,1800</w:t>
      </w:r>
      <w:r w:rsidRPr="00F77AC1">
        <w:rPr>
          <w:rFonts w:ascii="Times New Roman" w:hAnsi="Times New Roman" w:cs="Times New Roman"/>
        </w:rPr>
        <w:br/>
        <w:t>compute the SMA at day 1800, and use that value as the initial EMA input to the recursive formula. This method has the advantage of reducing early-series bias and produces a smoother, more stable initial EMA value.</w:t>
      </w:r>
    </w:p>
    <w:p w14:paraId="05D82D6D" w14:textId="77777777" w:rsidR="00F77AC1" w:rsidRPr="00F77AC1" w:rsidRDefault="00F77AC1" w:rsidP="00F77AC1">
      <w:pPr>
        <w:rPr>
          <w:rFonts w:ascii="Times New Roman" w:hAnsi="Times New Roman" w:cs="Times New Roman"/>
        </w:rPr>
      </w:pPr>
      <w:r w:rsidRPr="00F77AC1">
        <w:rPr>
          <w:rFonts w:ascii="Times New Roman" w:hAnsi="Times New Roman" w:cs="Times New Roman"/>
        </w:rPr>
        <w:t>The alternative approach seeds the EMA directly from the first available close price, typically setting the EMA equal to the close on day 1 (or day 2, depending on indexing) and applying the recursive EMA formula from that point forward. This method converges more quickly to a “live” EMA but can introduce greater sensitivity and distortion in the early portion of the series.</w:t>
      </w:r>
    </w:p>
    <w:p w14:paraId="51535C4E" w14:textId="77777777" w:rsidR="00F77AC1" w:rsidRDefault="00F77AC1" w:rsidP="00F77AC1">
      <w:pPr>
        <w:rPr>
          <w:rFonts w:ascii="Times New Roman" w:hAnsi="Times New Roman" w:cs="Times New Roman"/>
        </w:rPr>
      </w:pPr>
      <w:r w:rsidRPr="00F77AC1">
        <w:rPr>
          <w:rFonts w:ascii="Times New Roman" w:hAnsi="Times New Roman" w:cs="Times New Roman"/>
        </w:rPr>
        <w:t>Both approaches are mathematically defensible. The choice between them affects early EMA behavior, convergence characteristics, and comparability with external tools and platforms, and therefore must be considered carefully in the context of ta_lab2’s broader design goals.</w:t>
      </w:r>
    </w:p>
    <w:p w14:paraId="25BFAABE" w14:textId="789643F8" w:rsidR="00F77AC1" w:rsidRPr="00F77AC1" w:rsidRDefault="00F77AC1" w:rsidP="00F77AC1">
      <w:pPr>
        <w:rPr>
          <w:rFonts w:ascii="Times New Roman" w:hAnsi="Times New Roman" w:cs="Times New Roman"/>
          <w:b/>
          <w:bCs/>
        </w:rPr>
      </w:pPr>
      <w:r w:rsidRPr="00F77AC1">
        <w:rPr>
          <w:rFonts w:ascii="Times New Roman" w:hAnsi="Times New Roman" w:cs="Times New Roman"/>
          <w:b/>
          <w:bCs/>
        </w:rPr>
        <w:t>Smoothing Factor</w:t>
      </w:r>
    </w:p>
    <w:p w14:paraId="4505F791" w14:textId="77777777" w:rsidR="00F77AC1" w:rsidRPr="00F77AC1" w:rsidRDefault="00F77AC1" w:rsidP="00F77AC1">
      <w:pPr>
        <w:rPr>
          <w:rFonts w:ascii="Times New Roman" w:hAnsi="Times New Roman" w:cs="Times New Roman"/>
        </w:rPr>
      </w:pPr>
      <w:r w:rsidRPr="00F77AC1">
        <w:rPr>
          <w:rFonts w:ascii="Times New Roman" w:hAnsi="Times New Roman" w:cs="Times New Roman"/>
        </w:rPr>
        <w:t>The smoothing factor, commonly referred to as alpha, determines the relative weighting of new observations versus historical EMA values. It controls how quickly the EMA responds to changes in the underlying price series and therefore directly influences lag, smoothness, and sensitivity. A larger alpha increases responsiveness but amplifies noise, while a smaller alpha produces a smoother series at the cost of increased lag. Because alpha governs the fundamental dynamics of the EMA, its definition must be tightly coupled to how time, bars, and periods are modeled within the system.</w:t>
      </w:r>
    </w:p>
    <w:p w14:paraId="0F2750ED" w14:textId="72D1DCF1" w:rsidR="00F77AC1" w:rsidRPr="00F77AC1" w:rsidRDefault="00F77AC1" w:rsidP="00F77AC1">
      <w:pPr>
        <w:rPr>
          <w:rFonts w:ascii="Times New Roman" w:hAnsi="Times New Roman" w:cs="Times New Roman"/>
        </w:rPr>
      </w:pPr>
      <w:r w:rsidRPr="00F77AC1">
        <w:rPr>
          <w:rFonts w:ascii="Times New Roman" w:hAnsi="Times New Roman" w:cs="Times New Roman"/>
        </w:rPr>
        <w:lastRenderedPageBreak/>
        <w:t>Daily Alpha</w:t>
      </w:r>
      <w:r>
        <w:rPr>
          <w:rFonts w:ascii="Times New Roman" w:hAnsi="Times New Roman" w:cs="Times New Roman"/>
        </w:rPr>
        <w:t xml:space="preserve"> – </w:t>
      </w:r>
      <w:r w:rsidRPr="00F77AC1">
        <w:rPr>
          <w:rFonts w:ascii="Times New Roman" w:hAnsi="Times New Roman" w:cs="Times New Roman"/>
        </w:rPr>
        <w:t xml:space="preserve">Daily alpha assumes that each EMA update corresponds to a single calendar day and that the smoothing factor is derived solely from the nominal period length. In this formulation, alpha is typically defined as </w:t>
      </w:r>
    </w:p>
    <w:p w14:paraId="1980B61D" w14:textId="2D352674" w:rsidR="00F77AC1" w:rsidRPr="00F77AC1" w:rsidRDefault="00F77AC1" w:rsidP="00F77AC1">
      <w:pPr>
        <w:rPr>
          <w:rFonts w:ascii="Times New Roman" w:hAnsi="Times New Roman" w:cs="Times New Roman"/>
        </w:rPr>
      </w:pPr>
      <w:r w:rsidRPr="00F77AC1">
        <w:rPr>
          <w:rFonts w:ascii="Cambria Math" w:hAnsi="Cambria Math" w:cs="Cambria Math"/>
        </w:rPr>
        <w:t>𝛼</w:t>
      </w:r>
      <w:r>
        <w:rPr>
          <w:rFonts w:ascii="Times New Roman" w:hAnsi="Times New Roman" w:cs="Times New Roman"/>
        </w:rPr>
        <w:t xml:space="preserve"> </w:t>
      </w:r>
      <w:r w:rsidRPr="00F77AC1">
        <w:rPr>
          <w:rFonts w:ascii="Times New Roman" w:hAnsi="Times New Roman" w:cs="Times New Roman"/>
        </w:rPr>
        <w:t>=</w:t>
      </w:r>
      <w:r>
        <w:rPr>
          <w:rFonts w:ascii="Times New Roman" w:hAnsi="Times New Roman" w:cs="Times New Roman"/>
        </w:rPr>
        <w:t xml:space="preserve"> </w:t>
      </w:r>
      <w:r w:rsidRPr="00F77AC1">
        <w:rPr>
          <w:rFonts w:ascii="Times New Roman" w:hAnsi="Times New Roman" w:cs="Times New Roman"/>
        </w:rPr>
        <w:t>2</w:t>
      </w:r>
      <w:r>
        <w:rPr>
          <w:rFonts w:ascii="Times New Roman" w:hAnsi="Times New Roman" w:cs="Times New Roman"/>
        </w:rPr>
        <w:t>/</w:t>
      </w:r>
      <w:r w:rsidRPr="00F77AC1">
        <w:rPr>
          <w:rFonts w:ascii="Cambria Math" w:hAnsi="Cambria Math" w:cs="Cambria Math"/>
        </w:rPr>
        <w:t>N+1</w:t>
      </w:r>
      <w:r w:rsidRPr="00F77AC1">
        <w:rPr>
          <w:rFonts w:ascii="Times New Roman" w:hAnsi="Times New Roman" w:cs="Times New Roman"/>
        </w:rPr>
        <w:t xml:space="preserve">, where </w:t>
      </w:r>
    </w:p>
    <w:p w14:paraId="4DDB2D9E" w14:textId="2472A549" w:rsidR="00F77AC1" w:rsidRPr="00F77AC1" w:rsidRDefault="00F77AC1" w:rsidP="00F77AC1">
      <w:pPr>
        <w:rPr>
          <w:rFonts w:ascii="Times New Roman" w:hAnsi="Times New Roman" w:cs="Times New Roman"/>
        </w:rPr>
      </w:pPr>
      <w:r w:rsidRPr="00F77AC1">
        <w:rPr>
          <w:rFonts w:ascii="Times New Roman" w:hAnsi="Times New Roman" w:cs="Times New Roman"/>
        </w:rPr>
        <w:t>N represents the EMA period expressed in days. This approach implicitly assumes uniform daily spacing and is most appropriate when operating directly on daily bars without aggregation or multi-timeframe alignment. While simple and widely used, daily alpha can become inconsistent when applied to EMA series constructed from non-daily bars or from canonical timestamps that represent aggregated time intervals.</w:t>
      </w:r>
    </w:p>
    <w:p w14:paraId="65E2AAC8" w14:textId="66AAA05C" w:rsidR="00F77AC1" w:rsidRPr="00F77AC1" w:rsidRDefault="00F77AC1" w:rsidP="00F77AC1">
      <w:pPr>
        <w:rPr>
          <w:rFonts w:ascii="Times New Roman" w:hAnsi="Times New Roman" w:cs="Times New Roman"/>
        </w:rPr>
      </w:pPr>
      <w:r w:rsidRPr="00F77AC1">
        <w:rPr>
          <w:rFonts w:ascii="Times New Roman" w:hAnsi="Times New Roman" w:cs="Times New Roman"/>
        </w:rPr>
        <w:t>Bar-Based Alpha</w:t>
      </w:r>
    </w:p>
    <w:p w14:paraId="793502A1" w14:textId="5D3BA3C1" w:rsidR="00F77AC1" w:rsidRPr="00F77AC1" w:rsidRDefault="00F77AC1" w:rsidP="00F77AC1">
      <w:pPr>
        <w:rPr>
          <w:rFonts w:ascii="Times New Roman" w:hAnsi="Times New Roman" w:cs="Times New Roman"/>
        </w:rPr>
      </w:pPr>
      <w:r w:rsidRPr="00F77AC1">
        <w:rPr>
          <w:rFonts w:ascii="Times New Roman" w:hAnsi="Times New Roman" w:cs="Times New Roman"/>
        </w:rPr>
        <w:t xml:space="preserve">Bar-based alpha generalizes the smoothing factor by defining alpha in terms of bar count rather than calendar time. In this model, each bar, regardless of its real-world duration, is treated as a single observation in the EMA recursion. Alpha is therefore computed using the same canonical formula, but with the understanding that N represents </w:t>
      </w:r>
      <w:proofErr w:type="gramStart"/>
      <w:r w:rsidRPr="00F77AC1">
        <w:rPr>
          <w:rFonts w:ascii="Times New Roman" w:hAnsi="Times New Roman" w:cs="Times New Roman"/>
        </w:rPr>
        <w:t>a number of</w:t>
      </w:r>
      <w:proofErr w:type="gramEnd"/>
      <w:r w:rsidRPr="00F77AC1">
        <w:rPr>
          <w:rFonts w:ascii="Times New Roman" w:hAnsi="Times New Roman" w:cs="Times New Roman"/>
        </w:rPr>
        <w:t xml:space="preserve"> bars rather than days. This approach provides consistency across timeframes and aligns naturally with how many charting platforms compute EMAs on resampled or aggregated data. However, it abstracts away the actual elapsed time between observations, which can introduce distortions when bar durations vary or when gaps exist in the underlying data.</w:t>
      </w:r>
    </w:p>
    <w:p w14:paraId="470EF7F1" w14:textId="616B2656" w:rsidR="00F77AC1" w:rsidRPr="00F77AC1" w:rsidRDefault="00F77AC1" w:rsidP="00F77AC1">
      <w:pPr>
        <w:rPr>
          <w:rFonts w:ascii="Times New Roman" w:hAnsi="Times New Roman" w:cs="Times New Roman"/>
        </w:rPr>
      </w:pPr>
      <w:r w:rsidRPr="00F77AC1">
        <w:rPr>
          <w:rFonts w:ascii="Times New Roman" w:hAnsi="Times New Roman" w:cs="Times New Roman"/>
        </w:rPr>
        <w:t>Period × Bar-Based Alpha</w:t>
      </w:r>
    </w:p>
    <w:p w14:paraId="6EA8D75F" w14:textId="244AB76A" w:rsidR="00F77AC1" w:rsidRDefault="00F77AC1" w:rsidP="00F77AC1">
      <w:pPr>
        <w:rPr>
          <w:rFonts w:ascii="Times New Roman" w:hAnsi="Times New Roman" w:cs="Times New Roman"/>
          <w:b/>
          <w:bCs/>
        </w:rPr>
      </w:pPr>
      <w:r w:rsidRPr="00F77AC1">
        <w:rPr>
          <w:rFonts w:ascii="Times New Roman" w:hAnsi="Times New Roman" w:cs="Times New Roman"/>
        </w:rPr>
        <w:t>Period × bar-based alpha extends the bar-based approach by explicitly incorporating both the EMA period and the number of bars contained within each higher-level timeframe. In this formulation, alpha is adjusted to reflect the effective number of lower-level bars contributing to each EMA update, allowing the smoothing factor to scale with both period length and bar compression. This approach is particularly useful for multi-timeframe EMA systems, where a single EMA update may represent multiple underlying daily or intraday observations. While more complex, period × bar-based alpha offers improved conceptual consistency when aligning EMAs across timeframes and provides a clearer mapping between mathematical smoothing behavior and the underlying bar structure.</w:t>
      </w:r>
    </w:p>
    <w:p w14:paraId="681FA938" w14:textId="5FE83B98" w:rsidR="005F751D" w:rsidRPr="005F751D" w:rsidRDefault="005F751D" w:rsidP="005F751D">
      <w:pPr>
        <w:rPr>
          <w:rFonts w:ascii="Times New Roman" w:hAnsi="Times New Roman" w:cs="Times New Roman"/>
        </w:rPr>
      </w:pPr>
      <w:r w:rsidRPr="005F751D">
        <w:rPr>
          <w:rFonts w:ascii="Times New Roman" w:hAnsi="Times New Roman" w:cs="Times New Roman"/>
          <w:b/>
          <w:bCs/>
        </w:rPr>
        <w:t>Partial Start Period</w:t>
      </w:r>
    </w:p>
    <w:p w14:paraId="50FEEF7A" w14:textId="2C889F0F" w:rsidR="005F751D" w:rsidRPr="005F751D" w:rsidRDefault="005F751D" w:rsidP="005F751D">
      <w:pPr>
        <w:rPr>
          <w:rFonts w:ascii="Times New Roman" w:hAnsi="Times New Roman" w:cs="Times New Roman"/>
        </w:rPr>
      </w:pPr>
      <w:r w:rsidRPr="005F751D">
        <w:rPr>
          <w:rFonts w:ascii="Times New Roman" w:hAnsi="Times New Roman" w:cs="Times New Roman"/>
        </w:rPr>
        <w:t>A key design choice for bar-based EMAs arises at the beginning of a series when the first bar represents only a partial period. This situation occurs when bars are calendar-aligned or calendar-anchored and the time series begins in the middle of a higher-level interval. For example, if a series starts in mid-August, both the monthly bar for August and a six-month bar anchored to a fixed calendar boundary will be incomplete at the start of the series.</w:t>
      </w:r>
    </w:p>
    <w:p w14:paraId="36977A36" w14:textId="07B7AD86" w:rsidR="005F751D" w:rsidRPr="005F751D" w:rsidRDefault="005F751D" w:rsidP="005F751D">
      <w:pPr>
        <w:rPr>
          <w:rFonts w:ascii="Times New Roman" w:hAnsi="Times New Roman" w:cs="Times New Roman"/>
        </w:rPr>
      </w:pPr>
      <w:r w:rsidRPr="005F751D">
        <w:rPr>
          <w:rFonts w:ascii="Times New Roman" w:hAnsi="Times New Roman" w:cs="Times New Roman"/>
        </w:rPr>
        <w:t xml:space="preserve">In this scenario, the EMA methodology must explicitly define whether a partial bar is eligible to participate in EMA seeding and early updates. Treating the initial partial bar as a valid </w:t>
      </w:r>
      <w:r w:rsidRPr="005F751D">
        <w:rPr>
          <w:rFonts w:ascii="Times New Roman" w:hAnsi="Times New Roman" w:cs="Times New Roman"/>
        </w:rPr>
        <w:lastRenderedPageBreak/>
        <w:t>observation allows the EMA to begin responding immediately, but it introduces an observation whose duration and informational content differ from that of a fully formed bar. This can increase early-series sensitivity and may distort comparability with EMAs computed on fully completed bars.</w:t>
      </w:r>
    </w:p>
    <w:p w14:paraId="43392B6E" w14:textId="6B431634" w:rsidR="005F751D" w:rsidRPr="005F751D" w:rsidRDefault="005F751D" w:rsidP="005F751D">
      <w:pPr>
        <w:rPr>
          <w:rFonts w:ascii="Times New Roman" w:hAnsi="Times New Roman" w:cs="Times New Roman"/>
        </w:rPr>
      </w:pPr>
      <w:r w:rsidRPr="005F751D">
        <w:rPr>
          <w:rFonts w:ascii="Times New Roman" w:hAnsi="Times New Roman" w:cs="Times New Roman"/>
        </w:rPr>
        <w:t xml:space="preserve">Alternatively, the EMA can be defined to ignore partial start periods, delaying initialization until the first fully </w:t>
      </w:r>
      <w:proofErr w:type="gramStart"/>
      <w:r w:rsidRPr="005F751D">
        <w:rPr>
          <w:rFonts w:ascii="Times New Roman" w:hAnsi="Times New Roman" w:cs="Times New Roman"/>
        </w:rPr>
        <w:t>completed</w:t>
      </w:r>
      <w:proofErr w:type="gramEnd"/>
      <w:r w:rsidRPr="005F751D">
        <w:rPr>
          <w:rFonts w:ascii="Times New Roman" w:hAnsi="Times New Roman" w:cs="Times New Roman"/>
        </w:rPr>
        <w:t xml:space="preserve"> bar is available. This approach improves consistency across observations and preserves a uniform interpretation of each bar’s contribution, but it also postpones EMA availability and reduces early data coverage. The resulting EMA may be smoother and more stable initially, but at the cost of responsiveness during the early portion of the series.</w:t>
      </w:r>
    </w:p>
    <w:p w14:paraId="33B3E5A9" w14:textId="0343ED03" w:rsidR="00F77AC1" w:rsidRPr="005F751D" w:rsidRDefault="005F751D" w:rsidP="005F751D">
      <w:pPr>
        <w:rPr>
          <w:rFonts w:ascii="Times New Roman" w:hAnsi="Times New Roman" w:cs="Times New Roman"/>
        </w:rPr>
      </w:pPr>
      <w:r w:rsidRPr="005F751D">
        <w:rPr>
          <w:rFonts w:ascii="Times New Roman" w:hAnsi="Times New Roman" w:cs="Times New Roman"/>
        </w:rPr>
        <w:t>The choice between including or excluding partial start periods has downstream implications for convergence behavior, cross-timeframe alignment, and comparability with external charting platforms. As such, this decision should be made explicitly and encoded as part of the EMA specification within ta_lab2, rather than treated as an implicit side effect of bar construction or data availability.</w:t>
      </w:r>
    </w:p>
    <w:p w14:paraId="62F277FF" w14:textId="72602E15" w:rsidR="00F77AC1" w:rsidRDefault="00F77AC1" w:rsidP="00F77AC1">
      <w:pPr>
        <w:rPr>
          <w:rFonts w:ascii="Times New Roman" w:hAnsi="Times New Roman" w:cs="Times New Roman"/>
          <w:b/>
          <w:bCs/>
        </w:rPr>
      </w:pPr>
      <w:r>
        <w:rPr>
          <w:rFonts w:ascii="Times New Roman" w:hAnsi="Times New Roman" w:cs="Times New Roman"/>
          <w:b/>
          <w:bCs/>
        </w:rPr>
        <w:t>Preview Days</w:t>
      </w:r>
    </w:p>
    <w:p w14:paraId="3EBF4D4F" w14:textId="3E9B6035" w:rsidR="005F751D" w:rsidRDefault="005F751D" w:rsidP="00F77AC1">
      <w:pPr>
        <w:rPr>
          <w:rFonts w:ascii="Times New Roman" w:hAnsi="Times New Roman" w:cs="Times New Roman"/>
        </w:rPr>
      </w:pPr>
      <w:r w:rsidRPr="005F751D">
        <w:rPr>
          <w:rFonts w:ascii="Times New Roman" w:hAnsi="Times New Roman" w:cs="Times New Roman"/>
        </w:rPr>
        <w:t xml:space="preserve">Preview days refer to the intermediate observations that occur between successive canonical bar </w:t>
      </w:r>
      <w:proofErr w:type="gramStart"/>
      <w:r w:rsidRPr="005F751D">
        <w:rPr>
          <w:rFonts w:ascii="Times New Roman" w:hAnsi="Times New Roman" w:cs="Times New Roman"/>
        </w:rPr>
        <w:t>closes</w:t>
      </w:r>
      <w:proofErr w:type="gramEnd"/>
      <w:r w:rsidRPr="005F751D">
        <w:rPr>
          <w:rFonts w:ascii="Times New Roman" w:hAnsi="Times New Roman" w:cs="Times New Roman"/>
        </w:rPr>
        <w:t xml:space="preserve"> in higher-timeframe EMA constructions. When an EMA is defined on aggregated or calendar-based bars, such as weekly, monthly, or multi-month intervals, the canonical EMA update occurs only at the completion of each full bar. Preview days capture the evolving EMA value on the intervening lower-timeframe observations, typically daily closes, by applying the EMA recursion using the most recent available price while holding the higher-timeframe bar context fixed. These preview values are not final and will be superseded by the canonical EMA once the bar closes, but they provide a forward-looking view of how the EMA is likely to evolve if current prices persist. Preview days improve responsiveness and analytical continuity, while introducing a clear distinction between provisional and canonical EMA states that must be explicitly modeled and persisted.</w:t>
      </w:r>
    </w:p>
    <w:p w14:paraId="7B196B7A" w14:textId="6BDFEDD0" w:rsidR="005F751D" w:rsidRPr="005F751D" w:rsidRDefault="005F751D" w:rsidP="005F751D">
      <w:pPr>
        <w:rPr>
          <w:rFonts w:ascii="Times New Roman" w:hAnsi="Times New Roman" w:cs="Times New Roman"/>
        </w:rPr>
      </w:pPr>
      <w:r w:rsidRPr="005F751D">
        <w:rPr>
          <w:rFonts w:ascii="Times New Roman" w:hAnsi="Times New Roman" w:cs="Times New Roman"/>
        </w:rPr>
        <w:t>When incorporating preview days into a higher-timeframe EMA, a critical design decision is whether preview updates should use the same smoothing factor as canonical bar closes. Applying the canonical alpha to preview days treats each preview observation as an equivalent EMA update, increasing responsiveness but effectively compressing multiple EMA steps into a single bar period. This can cause the EMA to converge more quickly than intended and may over-weight short-term price movements within an incomplete bar. Alternatively, using a reduced or scaled alpha for preview days preserves the intended smoothing behavior across the full bar interval, ensuring that the cumulative influence of all preview updates does not exceed that of a single canonical update. The choice directly affects convergence, volatility sensitivity, and alignment with external platforms, and therefore must be explicitly specified rather than left as an implicit consequence of implementation.</w:t>
      </w:r>
    </w:p>
    <w:p w14:paraId="22CE8989" w14:textId="4A09F56E" w:rsidR="005F751D" w:rsidRPr="005F751D" w:rsidRDefault="005F751D" w:rsidP="005F751D">
      <w:pPr>
        <w:rPr>
          <w:rFonts w:ascii="Times New Roman" w:hAnsi="Times New Roman" w:cs="Times New Roman"/>
        </w:rPr>
      </w:pPr>
      <w:r w:rsidRPr="005F751D">
        <w:rPr>
          <w:rFonts w:ascii="Times New Roman" w:hAnsi="Times New Roman" w:cs="Times New Roman"/>
          <w:b/>
          <w:bCs/>
          <w:sz w:val="28"/>
          <w:szCs w:val="28"/>
        </w:rPr>
        <w:lastRenderedPageBreak/>
        <w:t>Definitions:</w:t>
      </w:r>
      <w:r w:rsidRPr="005F751D">
        <w:rPr>
          <w:rFonts w:ascii="Times New Roman" w:hAnsi="Times New Roman" w:cs="Times New Roman"/>
        </w:rPr>
        <w:br/>
      </w:r>
      <w:r w:rsidRPr="005F751D">
        <w:rPr>
          <w:rFonts w:ascii="Times New Roman" w:hAnsi="Times New Roman" w:cs="Times New Roman"/>
        </w:rPr>
        <w:t>Calendar Aligned</w:t>
      </w:r>
    </w:p>
    <w:p w14:paraId="6C9AD2A6" w14:textId="77777777" w:rsidR="005F751D" w:rsidRPr="005F751D" w:rsidRDefault="005F751D" w:rsidP="005F751D">
      <w:pPr>
        <w:rPr>
          <w:rFonts w:ascii="Times New Roman" w:hAnsi="Times New Roman" w:cs="Times New Roman"/>
        </w:rPr>
      </w:pPr>
      <w:r w:rsidRPr="005F751D">
        <w:rPr>
          <w:rFonts w:ascii="Times New Roman" w:hAnsi="Times New Roman" w:cs="Times New Roman"/>
        </w:rPr>
        <w:t xml:space="preserve">Calendar aligned bars are time intervals whose boundaries are determined solely by standard calendar conventions, independent of when </w:t>
      </w:r>
      <w:proofErr w:type="gramStart"/>
      <w:r w:rsidRPr="005F751D">
        <w:rPr>
          <w:rFonts w:ascii="Times New Roman" w:hAnsi="Times New Roman" w:cs="Times New Roman"/>
        </w:rPr>
        <w:t>a time</w:t>
      </w:r>
      <w:proofErr w:type="gramEnd"/>
      <w:r w:rsidRPr="005F751D">
        <w:rPr>
          <w:rFonts w:ascii="Times New Roman" w:hAnsi="Times New Roman" w:cs="Times New Roman"/>
        </w:rPr>
        <w:t xml:space="preserve"> series begins. Each bar starts and ends at predefined calendar boundaries such as the start and end of a day, week, month, quarter, or year. For example, a calendar-aligned monthly bar always spans from the first day of the month at 00:00 to the last day of the month at 23:59:59, regardless of when data collection for a particular asset begins.</w:t>
      </w:r>
    </w:p>
    <w:p w14:paraId="5670FDC5" w14:textId="77777777" w:rsidR="005F751D" w:rsidRPr="005F751D" w:rsidRDefault="005F751D" w:rsidP="005F751D">
      <w:pPr>
        <w:rPr>
          <w:rFonts w:ascii="Times New Roman" w:hAnsi="Times New Roman" w:cs="Times New Roman"/>
        </w:rPr>
      </w:pPr>
      <w:r w:rsidRPr="005F751D">
        <w:rPr>
          <w:rFonts w:ascii="Times New Roman" w:hAnsi="Times New Roman" w:cs="Times New Roman"/>
        </w:rPr>
        <w:t xml:space="preserve">In a calendar-aligned system, all assets and time series share identical bar boundaries for a given timeframe, which facilitates cross-asset comparability and consistent aggregation. However, when a series begins mid-period, the first bar will be </w:t>
      </w:r>
      <w:proofErr w:type="gramStart"/>
      <w:r w:rsidRPr="005F751D">
        <w:rPr>
          <w:rFonts w:ascii="Times New Roman" w:hAnsi="Times New Roman" w:cs="Times New Roman"/>
        </w:rPr>
        <w:t>incomplete by definition, representing</w:t>
      </w:r>
      <w:proofErr w:type="gramEnd"/>
      <w:r w:rsidRPr="005F751D">
        <w:rPr>
          <w:rFonts w:ascii="Times New Roman" w:hAnsi="Times New Roman" w:cs="Times New Roman"/>
        </w:rPr>
        <w:t xml:space="preserve"> only a partial interval of the full calendar span.</w:t>
      </w:r>
    </w:p>
    <w:p w14:paraId="47C45585" w14:textId="77777777" w:rsidR="005F751D" w:rsidRPr="005F751D" w:rsidRDefault="005F751D" w:rsidP="005F751D">
      <w:pPr>
        <w:rPr>
          <w:rFonts w:ascii="Times New Roman" w:hAnsi="Times New Roman" w:cs="Times New Roman"/>
        </w:rPr>
      </w:pPr>
    </w:p>
    <w:p w14:paraId="521198D2" w14:textId="77777777" w:rsidR="005F751D" w:rsidRPr="005F751D" w:rsidRDefault="005F751D" w:rsidP="005F751D">
      <w:pPr>
        <w:rPr>
          <w:rFonts w:ascii="Times New Roman" w:hAnsi="Times New Roman" w:cs="Times New Roman"/>
        </w:rPr>
      </w:pPr>
      <w:r w:rsidRPr="005F751D">
        <w:rPr>
          <w:rFonts w:ascii="Times New Roman" w:hAnsi="Times New Roman" w:cs="Times New Roman"/>
        </w:rPr>
        <w:t>Calendar Anchored</w:t>
      </w:r>
    </w:p>
    <w:p w14:paraId="01F33485" w14:textId="77777777" w:rsidR="004E5F0A" w:rsidRPr="004E5F0A" w:rsidRDefault="004E5F0A" w:rsidP="004E5F0A">
      <w:pPr>
        <w:rPr>
          <w:rFonts w:ascii="Times New Roman" w:hAnsi="Times New Roman" w:cs="Times New Roman"/>
        </w:rPr>
      </w:pPr>
      <w:r w:rsidRPr="004E5F0A">
        <w:rPr>
          <w:rFonts w:ascii="Times New Roman" w:hAnsi="Times New Roman" w:cs="Times New Roman"/>
        </w:rPr>
        <w:t xml:space="preserve">Calendar anchored bars are defined relative to fixed, globally consistent calendar anchors, and their boundaries do not vary based on when a series begins. These anchors correspond to standard, widely recognized calendar partitions that </w:t>
      </w:r>
      <w:proofErr w:type="gramStart"/>
      <w:r w:rsidRPr="004E5F0A">
        <w:rPr>
          <w:rFonts w:ascii="Times New Roman" w:hAnsi="Times New Roman" w:cs="Times New Roman"/>
        </w:rPr>
        <w:t>repeat predictably</w:t>
      </w:r>
      <w:proofErr w:type="gramEnd"/>
      <w:r w:rsidRPr="004E5F0A">
        <w:rPr>
          <w:rFonts w:ascii="Times New Roman" w:hAnsi="Times New Roman" w:cs="Times New Roman"/>
        </w:rPr>
        <w:t xml:space="preserve"> over time. Calendar anchoring is only meaningful for timeframes whose boundaries are universally agreed upon and naturally segmented by the calendar.</w:t>
      </w:r>
    </w:p>
    <w:p w14:paraId="6A3294C7" w14:textId="77777777" w:rsidR="004E5F0A" w:rsidRPr="004E5F0A" w:rsidRDefault="004E5F0A" w:rsidP="004E5F0A">
      <w:pPr>
        <w:rPr>
          <w:rFonts w:ascii="Times New Roman" w:hAnsi="Times New Roman" w:cs="Times New Roman"/>
        </w:rPr>
      </w:pPr>
      <w:r w:rsidRPr="004E5F0A">
        <w:rPr>
          <w:rFonts w:ascii="Times New Roman" w:hAnsi="Times New Roman" w:cs="Times New Roman"/>
        </w:rPr>
        <w:t>Calendar anchored behavior is therefore relevant for the following timeframes:</w:t>
      </w:r>
    </w:p>
    <w:p w14:paraId="3182748E" w14:textId="77777777" w:rsidR="004E5F0A" w:rsidRPr="004E5F0A" w:rsidRDefault="004E5F0A" w:rsidP="004E5F0A">
      <w:pPr>
        <w:numPr>
          <w:ilvl w:val="0"/>
          <w:numId w:val="2"/>
        </w:numPr>
        <w:rPr>
          <w:rFonts w:ascii="Times New Roman" w:hAnsi="Times New Roman" w:cs="Times New Roman"/>
        </w:rPr>
      </w:pPr>
      <w:r w:rsidRPr="004E5F0A">
        <w:rPr>
          <w:rFonts w:ascii="Times New Roman" w:hAnsi="Times New Roman" w:cs="Times New Roman"/>
        </w:rPr>
        <w:t>Yearly (1Y): January 1 to December 31</w:t>
      </w:r>
    </w:p>
    <w:p w14:paraId="74BE4965" w14:textId="62458A25" w:rsidR="004E5F0A" w:rsidRPr="004E5F0A" w:rsidRDefault="004E5F0A" w:rsidP="004E5F0A">
      <w:pPr>
        <w:numPr>
          <w:ilvl w:val="0"/>
          <w:numId w:val="2"/>
        </w:numPr>
        <w:rPr>
          <w:rFonts w:ascii="Times New Roman" w:hAnsi="Times New Roman" w:cs="Times New Roman"/>
        </w:rPr>
      </w:pPr>
      <w:r>
        <w:rPr>
          <w:rFonts w:ascii="Times New Roman" w:hAnsi="Times New Roman" w:cs="Times New Roman"/>
        </w:rPr>
        <w:t>Every 6 Months</w:t>
      </w:r>
      <w:r w:rsidRPr="004E5F0A">
        <w:rPr>
          <w:rFonts w:ascii="Times New Roman" w:hAnsi="Times New Roman" w:cs="Times New Roman"/>
        </w:rPr>
        <w:t xml:space="preserve"> (6M): January 1 to June 30, and July 1 to December 31</w:t>
      </w:r>
    </w:p>
    <w:p w14:paraId="4312916A" w14:textId="77777777" w:rsidR="004E5F0A" w:rsidRDefault="004E5F0A" w:rsidP="004E5F0A">
      <w:pPr>
        <w:numPr>
          <w:ilvl w:val="0"/>
          <w:numId w:val="2"/>
        </w:numPr>
        <w:rPr>
          <w:rFonts w:ascii="Times New Roman" w:hAnsi="Times New Roman" w:cs="Times New Roman"/>
        </w:rPr>
      </w:pPr>
      <w:r w:rsidRPr="004E5F0A">
        <w:rPr>
          <w:rFonts w:ascii="Times New Roman" w:hAnsi="Times New Roman" w:cs="Times New Roman"/>
        </w:rPr>
        <w:t>Quarterly (3M): Jan–Mar, Apr–Jun, Jul–Sep, Oct–Dec</w:t>
      </w:r>
    </w:p>
    <w:p w14:paraId="09E6FD15" w14:textId="20D198E4" w:rsidR="004E5F0A" w:rsidRPr="004E5F0A" w:rsidRDefault="004E5F0A" w:rsidP="004E5F0A">
      <w:pPr>
        <w:numPr>
          <w:ilvl w:val="0"/>
          <w:numId w:val="2"/>
        </w:numPr>
        <w:rPr>
          <w:rFonts w:ascii="Times New Roman" w:hAnsi="Times New Roman" w:cs="Times New Roman"/>
        </w:rPr>
      </w:pPr>
      <w:r>
        <w:rPr>
          <w:rFonts w:ascii="Times New Roman" w:hAnsi="Times New Roman" w:cs="Times New Roman"/>
        </w:rPr>
        <w:t xml:space="preserve">Every 2 Months (2M): </w:t>
      </w:r>
      <w:r w:rsidRPr="004E5F0A">
        <w:rPr>
          <w:rFonts w:ascii="Times New Roman" w:hAnsi="Times New Roman" w:cs="Times New Roman"/>
        </w:rPr>
        <w:t>Jan–</w:t>
      </w:r>
      <w:r>
        <w:rPr>
          <w:rFonts w:ascii="Times New Roman" w:hAnsi="Times New Roman" w:cs="Times New Roman"/>
        </w:rPr>
        <w:t xml:space="preserve">Feb, </w:t>
      </w:r>
      <w:r w:rsidRPr="004E5F0A">
        <w:rPr>
          <w:rFonts w:ascii="Times New Roman" w:hAnsi="Times New Roman" w:cs="Times New Roman"/>
        </w:rPr>
        <w:t>Mar</w:t>
      </w:r>
      <w:r>
        <w:rPr>
          <w:rFonts w:ascii="Times New Roman" w:hAnsi="Times New Roman" w:cs="Times New Roman"/>
        </w:rPr>
        <w:t>-</w:t>
      </w:r>
      <w:r w:rsidRPr="004E5F0A">
        <w:rPr>
          <w:rFonts w:ascii="Times New Roman" w:hAnsi="Times New Roman" w:cs="Times New Roman"/>
        </w:rPr>
        <w:t>Apr</w:t>
      </w:r>
      <w:r>
        <w:rPr>
          <w:rFonts w:ascii="Times New Roman" w:hAnsi="Times New Roman" w:cs="Times New Roman"/>
        </w:rPr>
        <w:t>, May</w:t>
      </w:r>
      <w:r w:rsidRPr="004E5F0A">
        <w:rPr>
          <w:rFonts w:ascii="Times New Roman" w:hAnsi="Times New Roman" w:cs="Times New Roman"/>
        </w:rPr>
        <w:t>–Jun, Jul–</w:t>
      </w:r>
      <w:r>
        <w:rPr>
          <w:rFonts w:ascii="Times New Roman" w:hAnsi="Times New Roman" w:cs="Times New Roman"/>
        </w:rPr>
        <w:t xml:space="preserve">Aug, </w:t>
      </w:r>
      <w:r w:rsidRPr="004E5F0A">
        <w:rPr>
          <w:rFonts w:ascii="Times New Roman" w:hAnsi="Times New Roman" w:cs="Times New Roman"/>
        </w:rPr>
        <w:t>Sep</w:t>
      </w:r>
      <w:r>
        <w:rPr>
          <w:rFonts w:ascii="Times New Roman" w:hAnsi="Times New Roman" w:cs="Times New Roman"/>
        </w:rPr>
        <w:t>-</w:t>
      </w:r>
      <w:r w:rsidRPr="004E5F0A">
        <w:rPr>
          <w:rFonts w:ascii="Times New Roman" w:hAnsi="Times New Roman" w:cs="Times New Roman"/>
        </w:rPr>
        <w:t>Oct</w:t>
      </w:r>
      <w:r>
        <w:rPr>
          <w:rFonts w:ascii="Times New Roman" w:hAnsi="Times New Roman" w:cs="Times New Roman"/>
        </w:rPr>
        <w:t>, Nov</w:t>
      </w:r>
      <w:r w:rsidRPr="004E5F0A">
        <w:rPr>
          <w:rFonts w:ascii="Times New Roman" w:hAnsi="Times New Roman" w:cs="Times New Roman"/>
        </w:rPr>
        <w:t>–Dec</w:t>
      </w:r>
    </w:p>
    <w:p w14:paraId="3A6174BD" w14:textId="77777777" w:rsidR="004E5F0A" w:rsidRPr="004E5F0A" w:rsidRDefault="004E5F0A" w:rsidP="004E5F0A">
      <w:pPr>
        <w:numPr>
          <w:ilvl w:val="0"/>
          <w:numId w:val="2"/>
        </w:numPr>
        <w:rPr>
          <w:rFonts w:ascii="Times New Roman" w:hAnsi="Times New Roman" w:cs="Times New Roman"/>
        </w:rPr>
      </w:pPr>
      <w:r w:rsidRPr="004E5F0A">
        <w:rPr>
          <w:rFonts w:ascii="Times New Roman" w:hAnsi="Times New Roman" w:cs="Times New Roman"/>
        </w:rPr>
        <w:t>Monthly (1M): First day of the month to the last day of the month</w:t>
      </w:r>
    </w:p>
    <w:p w14:paraId="47C83959" w14:textId="77777777" w:rsidR="004E5F0A" w:rsidRPr="004E5F0A" w:rsidRDefault="004E5F0A" w:rsidP="004E5F0A">
      <w:pPr>
        <w:numPr>
          <w:ilvl w:val="0"/>
          <w:numId w:val="2"/>
        </w:numPr>
        <w:rPr>
          <w:rFonts w:ascii="Times New Roman" w:hAnsi="Times New Roman" w:cs="Times New Roman"/>
        </w:rPr>
      </w:pPr>
      <w:r w:rsidRPr="004E5F0A">
        <w:rPr>
          <w:rFonts w:ascii="Times New Roman" w:hAnsi="Times New Roman" w:cs="Times New Roman"/>
        </w:rPr>
        <w:t>Weekly (1W), when ISO-anchored: Monday 00:00 through Sunday 23:59:59</w:t>
      </w:r>
    </w:p>
    <w:p w14:paraId="674CD822" w14:textId="77777777" w:rsidR="004E5F0A" w:rsidRPr="004E5F0A" w:rsidRDefault="004E5F0A" w:rsidP="004E5F0A">
      <w:pPr>
        <w:rPr>
          <w:rFonts w:ascii="Times New Roman" w:hAnsi="Times New Roman" w:cs="Times New Roman"/>
        </w:rPr>
      </w:pPr>
      <w:r w:rsidRPr="004E5F0A">
        <w:rPr>
          <w:rFonts w:ascii="Times New Roman" w:hAnsi="Times New Roman" w:cs="Times New Roman"/>
        </w:rPr>
        <w:t>For these timeframes, all assets and time series share identical bar boundaries, regardless of when their data begins. If a series starts mid-period, the first anchored bar will be partial, but it will still be associated with one of these fixed anchor intervals. This approach maximizes cross-asset comparability, aligns with standard financial reporting conventions, and provides a stable foundation for multi-timeframe analysis.</w:t>
      </w:r>
    </w:p>
    <w:p w14:paraId="17A2979E" w14:textId="6E3F0016" w:rsidR="00E607BA" w:rsidRPr="005F751D" w:rsidRDefault="00E607BA" w:rsidP="004E5F0A">
      <w:pPr>
        <w:rPr>
          <w:rFonts w:ascii="Times New Roman" w:hAnsi="Times New Roman" w:cs="Times New Roman"/>
        </w:rPr>
      </w:pPr>
    </w:p>
    <w:sectPr w:rsidR="00E607BA" w:rsidRPr="005F7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D2AA3"/>
    <w:multiLevelType w:val="multilevel"/>
    <w:tmpl w:val="D10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D3ED0"/>
    <w:multiLevelType w:val="multilevel"/>
    <w:tmpl w:val="D98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23028">
    <w:abstractNumId w:val="0"/>
  </w:num>
  <w:num w:numId="2" w16cid:durableId="166848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BA"/>
    <w:rsid w:val="000D5210"/>
    <w:rsid w:val="003D34DC"/>
    <w:rsid w:val="004152A4"/>
    <w:rsid w:val="004E5F0A"/>
    <w:rsid w:val="005F751D"/>
    <w:rsid w:val="00AA3F1E"/>
    <w:rsid w:val="00C30E45"/>
    <w:rsid w:val="00E607BA"/>
    <w:rsid w:val="00F7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13B5"/>
  <w15:chartTrackingRefBased/>
  <w15:docId w15:val="{DF72DA31-79C1-4DAF-AA6D-F555414A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BA"/>
    <w:rPr>
      <w:rFonts w:eastAsiaTheme="majorEastAsia" w:cstheme="majorBidi"/>
      <w:color w:val="272727" w:themeColor="text1" w:themeTint="D8"/>
    </w:rPr>
  </w:style>
  <w:style w:type="paragraph" w:styleId="Title">
    <w:name w:val="Title"/>
    <w:basedOn w:val="Normal"/>
    <w:next w:val="Normal"/>
    <w:link w:val="TitleChar"/>
    <w:uiPriority w:val="10"/>
    <w:qFormat/>
    <w:rsid w:val="00E6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BA"/>
    <w:pPr>
      <w:spacing w:before="160"/>
      <w:jc w:val="center"/>
    </w:pPr>
    <w:rPr>
      <w:i/>
      <w:iCs/>
      <w:color w:val="404040" w:themeColor="text1" w:themeTint="BF"/>
    </w:rPr>
  </w:style>
  <w:style w:type="character" w:customStyle="1" w:styleId="QuoteChar">
    <w:name w:val="Quote Char"/>
    <w:basedOn w:val="DefaultParagraphFont"/>
    <w:link w:val="Quote"/>
    <w:uiPriority w:val="29"/>
    <w:rsid w:val="00E607BA"/>
    <w:rPr>
      <w:i/>
      <w:iCs/>
      <w:color w:val="404040" w:themeColor="text1" w:themeTint="BF"/>
    </w:rPr>
  </w:style>
  <w:style w:type="paragraph" w:styleId="ListParagraph">
    <w:name w:val="List Paragraph"/>
    <w:basedOn w:val="Normal"/>
    <w:uiPriority w:val="34"/>
    <w:qFormat/>
    <w:rsid w:val="00E607BA"/>
    <w:pPr>
      <w:ind w:left="720"/>
      <w:contextualSpacing/>
    </w:pPr>
  </w:style>
  <w:style w:type="character" w:styleId="IntenseEmphasis">
    <w:name w:val="Intense Emphasis"/>
    <w:basedOn w:val="DefaultParagraphFont"/>
    <w:uiPriority w:val="21"/>
    <w:qFormat/>
    <w:rsid w:val="00E607BA"/>
    <w:rPr>
      <w:i/>
      <w:iCs/>
      <w:color w:val="0F4761" w:themeColor="accent1" w:themeShade="BF"/>
    </w:rPr>
  </w:style>
  <w:style w:type="paragraph" w:styleId="IntenseQuote">
    <w:name w:val="Intense Quote"/>
    <w:basedOn w:val="Normal"/>
    <w:next w:val="Normal"/>
    <w:link w:val="IntenseQuoteChar"/>
    <w:uiPriority w:val="30"/>
    <w:qFormat/>
    <w:rsid w:val="00E60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BA"/>
    <w:rPr>
      <w:i/>
      <w:iCs/>
      <w:color w:val="0F4761" w:themeColor="accent1" w:themeShade="BF"/>
    </w:rPr>
  </w:style>
  <w:style w:type="character" w:styleId="IntenseReference">
    <w:name w:val="Intense Reference"/>
    <w:basedOn w:val="DefaultParagraphFont"/>
    <w:uiPriority w:val="32"/>
    <w:qFormat/>
    <w:rsid w:val="00E60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1605</Words>
  <Characters>9150</Characters>
  <Application>Microsoft Office Word</Application>
  <DocSecurity>0</DocSecurity>
  <Lines>76</Lines>
  <Paragraphs>21</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Safi</dc:creator>
  <cp:keywords/>
  <dc:description/>
  <cp:lastModifiedBy>Adam Safi</cp:lastModifiedBy>
  <cp:revision>1</cp:revision>
  <dcterms:created xsi:type="dcterms:W3CDTF">2025-12-29T12:26:00Z</dcterms:created>
  <dcterms:modified xsi:type="dcterms:W3CDTF">2026-01-07T11:51:00Z</dcterms:modified>
</cp:coreProperties>
</file>