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3A0E" w14:textId="31752104" w:rsidR="00C30E45" w:rsidRPr="00600F9F" w:rsidRDefault="00664099" w:rsidP="000A7C70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 w:rsidRPr="00600F9F">
        <w:rPr>
          <w:rFonts w:asciiTheme="majorHAnsi" w:hAnsiTheme="majorHAnsi" w:cs="Times New Roman"/>
          <w:b/>
          <w:bCs/>
          <w:sz w:val="32"/>
          <w:szCs w:val="32"/>
        </w:rPr>
        <w:t>Key Terms</w:t>
      </w:r>
    </w:p>
    <w:p w14:paraId="2C0D131F" w14:textId="77777777" w:rsidR="00664099" w:rsidRPr="00600F9F" w:rsidRDefault="00664099" w:rsidP="00664099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600F9F">
        <w:rPr>
          <w:rFonts w:asciiTheme="majorHAnsi" w:hAnsiTheme="majorHAnsi" w:cs="Times New Roman"/>
          <w:b/>
          <w:bCs/>
        </w:rPr>
        <w:t>Program / Master Portfolio (Capital Allocator)</w:t>
      </w:r>
    </w:p>
    <w:p w14:paraId="65B5812A" w14:textId="77777777" w:rsidR="00664099" w:rsidRPr="00600F9F" w:rsidRDefault="00664099" w:rsidP="00664099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The Program (a.k.a. Master Portfolio or Capital Allocator) is the top-level portfolio that owns firmwide capital and allocates it across Pools (mandates). It sets global risk guardrails, treasury rules, and governance; it rebalances capital among Pools and aggregates firmwide P&amp;L and risk.</w:t>
      </w:r>
    </w:p>
    <w:p w14:paraId="7C9A5D09" w14:textId="77777777" w:rsidR="00664099" w:rsidRPr="00600F9F" w:rsidRDefault="00664099" w:rsidP="00664099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Purpose:</w:t>
      </w:r>
    </w:p>
    <w:p w14:paraId="39532AE1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Convert firm vision and constraints into capital policy and risk limits.</w:t>
      </w:r>
    </w:p>
    <w:p w14:paraId="3D508FE2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Decide how much capital each Pool runs and when to add/remove/resize Pools.</w:t>
      </w:r>
    </w:p>
    <w:p w14:paraId="32C6AF43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Ensure Pool behavior rolls up to a coherent, controlled firmwide exposure profile.</w:t>
      </w:r>
    </w:p>
    <w:p w14:paraId="3D62040F" w14:textId="77777777" w:rsidR="00664099" w:rsidRPr="00600F9F" w:rsidRDefault="00664099" w:rsidP="00664099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Inputs → Decisions → Outputs</w:t>
      </w:r>
    </w:p>
    <w:p w14:paraId="7EDBE651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Inputs: pool KPIs, capacity &amp; liquidity, correlations, firm DD/vol caps, cash needs.</w:t>
      </w:r>
    </w:p>
    <w:p w14:paraId="7173D3FB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Decisions: pool weights, funding/defunding, rebalance cadence, firmwide risk gates.</w:t>
      </w:r>
    </w:p>
    <w:p w14:paraId="60E95882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Outputs: allocation plan, firm exposure/risk state, treasury movements, roll-up reports.</w:t>
      </w:r>
    </w:p>
    <w:p w14:paraId="24C13A5F" w14:textId="77777777" w:rsidR="00664099" w:rsidRPr="00600F9F" w:rsidRDefault="00664099" w:rsidP="00664099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KPIs</w:t>
      </w:r>
    </w:p>
    <w:p w14:paraId="76E16686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Firm Sharpe/MAR, max drawdown, vol vs target, contribution by Pool, drift vs policy, cash efficiency.</w:t>
      </w:r>
    </w:p>
    <w:p w14:paraId="7E207396" w14:textId="77777777" w:rsidR="00664099" w:rsidRPr="00600F9F" w:rsidRDefault="00664099" w:rsidP="00664099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Policies (examples)</w:t>
      </w:r>
    </w:p>
    <w:p w14:paraId="05C0FAB1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Firm max DD: e.g., 25% hard stop.</w:t>
      </w:r>
    </w:p>
    <w:p w14:paraId="1CD2BEAD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Pool weight bands: e.g., Core 50–70%, Conservative 20–40%, Opportunistic 0–20%.</w:t>
      </w:r>
    </w:p>
    <w:p w14:paraId="6AE87BC3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Rebalance: monthly or &gt;25% weight drift.</w:t>
      </w:r>
    </w:p>
    <w:p w14:paraId="2D249A42" w14:textId="7AC4CC8F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Pause rules: auto-defund a Pool breaching risk or failing QA.</w:t>
      </w:r>
    </w:p>
    <w:p w14:paraId="15B44570" w14:textId="77777777" w:rsidR="00664099" w:rsidRPr="00600F9F" w:rsidRDefault="00664099" w:rsidP="00664099">
      <w:pPr>
        <w:pStyle w:val="ListParagraph"/>
        <w:ind w:left="2160"/>
        <w:rPr>
          <w:rFonts w:asciiTheme="majorHAnsi" w:hAnsiTheme="majorHAnsi" w:cs="Times New Roman"/>
        </w:rPr>
      </w:pPr>
    </w:p>
    <w:p w14:paraId="0D6C26A4" w14:textId="79A795A3" w:rsidR="00664099" w:rsidRPr="00600F9F" w:rsidRDefault="00664099" w:rsidP="00664099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600F9F">
        <w:rPr>
          <w:rFonts w:asciiTheme="majorHAnsi" w:hAnsiTheme="majorHAnsi" w:cs="Times New Roman"/>
          <w:b/>
          <w:bCs/>
        </w:rPr>
        <w:t>Pool (Mandate-Level Portfolio)</w:t>
      </w:r>
    </w:p>
    <w:p w14:paraId="5B1BC205" w14:textId="647C3E3A" w:rsidR="00664099" w:rsidRPr="00600F9F" w:rsidRDefault="00664099" w:rsidP="00664099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 pool is a self-contained portfolio with a clearly stated objective (return/volatility/drawdown), constraints (leverage, assets, venues), and governance (risk limits, overrides). Capital is committed to the pool, and the pool allocates that capital across one or more sleeves to meet its mandate.</w:t>
      </w:r>
    </w:p>
    <w:p w14:paraId="45A2ADB8" w14:textId="2009D014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Scope: objective, risk budget, eligible instruments/venues, reporting.</w:t>
      </w:r>
    </w:p>
    <w:p w14:paraId="505CF2C0" w14:textId="697489DC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Examples: Conservative Pool, Core Pool, Opportunistic Pool.</w:t>
      </w:r>
    </w:p>
    <w:p w14:paraId="3E835055" w14:textId="18D97D4E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lastRenderedPageBreak/>
        <w:t>Accountability: pool-level P&amp;L, volatility, max drawdown, compliance with limits.</w:t>
      </w:r>
    </w:p>
    <w:p w14:paraId="7116DCA7" w14:textId="77777777" w:rsidR="00664099" w:rsidRPr="00600F9F" w:rsidRDefault="00664099" w:rsidP="00664099">
      <w:pPr>
        <w:pStyle w:val="ListParagraph"/>
        <w:ind w:left="2160"/>
        <w:rPr>
          <w:rFonts w:asciiTheme="majorHAnsi" w:hAnsiTheme="majorHAnsi" w:cs="Times New Roman"/>
        </w:rPr>
      </w:pPr>
    </w:p>
    <w:p w14:paraId="55B31981" w14:textId="77777777" w:rsidR="00664099" w:rsidRPr="00600F9F" w:rsidRDefault="00664099" w:rsidP="00664099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600F9F">
        <w:rPr>
          <w:rFonts w:asciiTheme="majorHAnsi" w:hAnsiTheme="majorHAnsi" w:cs="Times New Roman"/>
          <w:b/>
          <w:bCs/>
        </w:rPr>
        <w:t>Sleeve (Strategy Allocation Inside a Pool)</w:t>
      </w:r>
    </w:p>
    <w:p w14:paraId="1C48C6EA" w14:textId="77777777" w:rsidR="00664099" w:rsidRPr="00600F9F" w:rsidRDefault="00664099" w:rsidP="00664099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 sleeve is a distinct strategy bucket within a pool—defined by its signal/process (e.g., EMA trend, RSI mean-reversion, basis), its sizing rules, and its risk budget granted by the pool. Sleeves are components; they don’t exist independently of a pool unless promoted to their own product.</w:t>
      </w:r>
    </w:p>
    <w:p w14:paraId="21B2E9CE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Scope: entry/exit logic, parameters, data, sizing &amp; stop rules.</w:t>
      </w:r>
    </w:p>
    <w:p w14:paraId="3F794AD2" w14:textId="77777777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Examples: Trend Sleeve, Mean-Reversion Sleeve, Staking/Yield Sleeve, Basis Sleeve.</w:t>
      </w:r>
    </w:p>
    <w:p w14:paraId="5A532522" w14:textId="79E774D0" w:rsidR="00664099" w:rsidRPr="00600F9F" w:rsidRDefault="00664099" w:rsidP="00664099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Accountability: sleeve-level P&amp;L, hit rate, Sharpe, drawdown, capacity, and drift vs </w:t>
      </w:r>
      <w:proofErr w:type="spellStart"/>
      <w:r w:rsidRPr="00600F9F">
        <w:rPr>
          <w:rFonts w:asciiTheme="majorHAnsi" w:hAnsiTheme="majorHAnsi" w:cs="Times New Roman"/>
        </w:rPr>
        <w:t>backtest</w:t>
      </w:r>
      <w:proofErr w:type="spellEnd"/>
      <w:r w:rsidRPr="00600F9F">
        <w:rPr>
          <w:rFonts w:asciiTheme="majorHAnsi" w:hAnsiTheme="majorHAnsi" w:cs="Times New Roman"/>
        </w:rPr>
        <w:t>.</w:t>
      </w:r>
    </w:p>
    <w:p w14:paraId="12D37D57" w14:textId="420F9AD4" w:rsidR="000563B5" w:rsidRPr="00600F9F" w:rsidRDefault="000563B5" w:rsidP="000563B5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600F9F">
        <w:rPr>
          <w:rFonts w:asciiTheme="majorHAnsi" w:hAnsiTheme="majorHAnsi" w:cs="Times New Roman"/>
          <w:b/>
          <w:bCs/>
        </w:rPr>
        <w:t>Component</w:t>
      </w:r>
    </w:p>
    <w:p w14:paraId="60AE5C23" w14:textId="0B962D3C" w:rsidR="000563B5" w:rsidRPr="00600F9F" w:rsidRDefault="000563B5" w:rsidP="000563B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 Component is a modular, reusable building block of the platform that delivers a single, well-bounded capability (e.g., risk aggregation, capital allocation, execution, data catalog). Components are shared services: one implementation serves all Programs, Pools, and Sleeves via clear interfaces and per-entity configuration.</w:t>
      </w:r>
    </w:p>
    <w:p w14:paraId="1C118348" w14:textId="77777777" w:rsidR="000563B5" w:rsidRPr="00600F9F" w:rsidRDefault="000563B5" w:rsidP="000563B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Key properties</w:t>
      </w:r>
    </w:p>
    <w:p w14:paraId="27B76E3A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Single responsibility: one capability, one owner.</w:t>
      </w:r>
    </w:p>
    <w:p w14:paraId="4F085B5B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Explicit interfaces: typed inputs/outputs (APIs, events, schemas).</w:t>
      </w:r>
    </w:p>
    <w:p w14:paraId="7EA1977C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Stateless or stateful by design: state handling (stores, </w:t>
      </w:r>
      <w:proofErr w:type="gramStart"/>
      <w:r w:rsidRPr="00600F9F">
        <w:rPr>
          <w:rFonts w:asciiTheme="majorHAnsi" w:hAnsiTheme="majorHAnsi" w:cs="Times New Roman"/>
        </w:rPr>
        <w:t>caches</w:t>
      </w:r>
      <w:proofErr w:type="gramEnd"/>
      <w:r w:rsidRPr="00600F9F">
        <w:rPr>
          <w:rFonts w:asciiTheme="majorHAnsi" w:hAnsiTheme="majorHAnsi" w:cs="Times New Roman"/>
        </w:rPr>
        <w:t>) is defined and observable.</w:t>
      </w:r>
    </w:p>
    <w:p w14:paraId="0619AF3F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Config-driven, multi-tenant: behavior specializes by Program/Pool/Sleeve config, not by forking code.</w:t>
      </w:r>
    </w:p>
    <w:p w14:paraId="0AD2F3DE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Testable &amp; observable: unit/contract tests, metrics, logs, alerts, SLOs.</w:t>
      </w:r>
    </w:p>
    <w:p w14:paraId="5CBC26D5" w14:textId="410BE153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Versioned &amp; governed: change control, rollbacks, audit trails.</w:t>
      </w:r>
    </w:p>
    <w:p w14:paraId="392AB40A" w14:textId="77777777" w:rsidR="000563B5" w:rsidRPr="00600F9F" w:rsidRDefault="000563B5" w:rsidP="000563B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Examples</w:t>
      </w:r>
    </w:p>
    <w:p w14:paraId="4233A7F4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Capital Policy Engine (</w:t>
      </w:r>
      <w:proofErr w:type="gramStart"/>
      <w:r w:rsidRPr="00600F9F">
        <w:rPr>
          <w:rFonts w:asciiTheme="majorHAnsi" w:hAnsiTheme="majorHAnsi" w:cs="Times New Roman"/>
        </w:rPr>
        <w:t>computes</w:t>
      </w:r>
      <w:proofErr w:type="gramEnd"/>
      <w:r w:rsidRPr="00600F9F">
        <w:rPr>
          <w:rFonts w:asciiTheme="majorHAnsi" w:hAnsiTheme="majorHAnsi" w:cs="Times New Roman"/>
        </w:rPr>
        <w:t xml:space="preserve"> target weights across Pools)</w:t>
      </w:r>
    </w:p>
    <w:p w14:paraId="0782830A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Firmwide Risk Engine (aggregates exposures, enforces limits)</w:t>
      </w:r>
    </w:p>
    <w:p w14:paraId="0A31AC5F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Treasury/Collateral Manager (cash, margin, sweeps)</w:t>
      </w:r>
    </w:p>
    <w:p w14:paraId="7371C617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Data &amp; Reference Catalog (prices, fees, calendars, lot sizes)</w:t>
      </w:r>
    </w:p>
    <w:p w14:paraId="3BF21D7F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Monitoring &amp; Alerting (health, limits, drift)</w:t>
      </w:r>
    </w:p>
    <w:p w14:paraId="238F576D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Performance &amp; Attribution (</w:t>
      </w:r>
      <w:proofErr w:type="spellStart"/>
      <w:r w:rsidRPr="00600F9F">
        <w:rPr>
          <w:rFonts w:asciiTheme="majorHAnsi" w:hAnsiTheme="majorHAnsi" w:cs="Times New Roman"/>
        </w:rPr>
        <w:t>firm→pool→sleeve</w:t>
      </w:r>
      <w:proofErr w:type="spellEnd"/>
      <w:r w:rsidRPr="00600F9F">
        <w:rPr>
          <w:rFonts w:asciiTheme="majorHAnsi" w:hAnsiTheme="majorHAnsi" w:cs="Times New Roman"/>
        </w:rPr>
        <w:t xml:space="preserve"> P&amp;L breakdown)</w:t>
      </w:r>
    </w:p>
    <w:p w14:paraId="6FEB4E34" w14:textId="77777777" w:rsidR="000563B5" w:rsidRPr="00600F9F" w:rsidRDefault="000563B5" w:rsidP="000563B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Execution Adapter (venue/broker interface, orders/fills)</w:t>
      </w:r>
    </w:p>
    <w:p w14:paraId="510273E1" w14:textId="77777777" w:rsidR="000563B5" w:rsidRPr="00600F9F" w:rsidRDefault="000563B5" w:rsidP="000563B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Non-examples</w:t>
      </w:r>
    </w:p>
    <w:p w14:paraId="1E2CF77F" w14:textId="77777777" w:rsidR="000563B5" w:rsidRPr="00600F9F" w:rsidRDefault="000563B5" w:rsidP="00D83E54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 specific strategy (that’s a Sleeve).</w:t>
      </w:r>
    </w:p>
    <w:p w14:paraId="5AB3F893" w14:textId="77777777" w:rsidR="000563B5" w:rsidRPr="00600F9F" w:rsidRDefault="000563B5" w:rsidP="00D83E54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lastRenderedPageBreak/>
        <w:t>A Pool (that’s a mandate-level portfolio).</w:t>
      </w:r>
    </w:p>
    <w:p w14:paraId="5A8E4FEA" w14:textId="415133E9" w:rsidR="000563B5" w:rsidRPr="00600F9F" w:rsidRDefault="000563B5" w:rsidP="00D83E54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An ad-hoc script or notebook without interfaces, tests, or SLOs.</w:t>
      </w:r>
    </w:p>
    <w:p w14:paraId="4AD888DC" w14:textId="77777777" w:rsidR="001676A0" w:rsidRPr="00600F9F" w:rsidRDefault="001676A0" w:rsidP="001676A0">
      <w:pPr>
        <w:pStyle w:val="ListParagraph"/>
        <w:ind w:left="2160"/>
        <w:rPr>
          <w:rFonts w:asciiTheme="majorHAnsi" w:hAnsiTheme="majorHAnsi" w:cs="Times New Roman"/>
        </w:rPr>
      </w:pPr>
    </w:p>
    <w:p w14:paraId="41F052E2" w14:textId="77777777" w:rsidR="001676A0" w:rsidRPr="00600F9F" w:rsidRDefault="001676A0" w:rsidP="001676A0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bookmarkStart w:id="0" w:name="_Hlk213657775"/>
      <w:r w:rsidRPr="00600F9F">
        <w:rPr>
          <w:rFonts w:asciiTheme="majorHAnsi" w:hAnsiTheme="majorHAnsi" w:cs="Times New Roman"/>
          <w:b/>
          <w:bCs/>
        </w:rPr>
        <w:t>Regime — working definition</w:t>
      </w:r>
    </w:p>
    <w:p w14:paraId="349E90B5" w14:textId="15FA648E" w:rsidR="001676A0" w:rsidRPr="00600F9F" w:rsidRDefault="001676A0" w:rsidP="001676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 regime is a persistent market state, defined on a specific time frame, in which the distribution of key behaviors—trend, volatility, and liquidity, plus any flow or microstructure features you track—is sufficiently stable that a distinct trading playbook and risk policy outperform reasonable alternatives.</w:t>
      </w:r>
    </w:p>
    <w:p w14:paraId="69370FB3" w14:textId="04941D3E" w:rsidR="001676A0" w:rsidRPr="00600F9F" w:rsidRDefault="001676A0" w:rsidP="001676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A regime is a time-frame–scoped latent state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="Cambria Math" w:hAnsi="Cambria Math" w:cs="Cambria Math"/>
        </w:rPr>
        <w:t>∈</w:t>
      </w:r>
      <w:r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="Cambria Math" w:hAnsi="Cambria Math" w:cs="Cambria Math"/>
        </w:rPr>
        <w:t>𝑆</w:t>
      </w:r>
      <w:r w:rsidRPr="00600F9F">
        <w:rPr>
          <w:rFonts w:asciiTheme="majorHAnsi" w:hAnsiTheme="majorHAnsi" w:cs="Times New Roman"/>
        </w:rPr>
        <w:t xml:space="preserve"> such that, conditional on s, the joint distribution of behaviors you care about is stable enough to warrant a distinct trading policy.</w:t>
      </w:r>
    </w:p>
    <w:p w14:paraId="5B2D3539" w14:textId="0AFBD6EA" w:rsidR="001676A0" w:rsidRPr="00600F9F" w:rsidRDefault="001676A0" w:rsidP="001676A0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Data at time t: features </w:t>
      </w:r>
      <w:r w:rsidRPr="00600F9F">
        <w:rPr>
          <w:rFonts w:ascii="Cambria Math" w:hAnsi="Cambria Math" w:cs="Cambria Math"/>
        </w:rPr>
        <w:t>𝑥</w:t>
      </w:r>
      <w:r w:rsidRPr="00600F9F">
        <w:rPr>
          <w:rFonts w:asciiTheme="majorHAnsi" w:hAnsiTheme="majorHAnsi" w:cs="Times New Roman"/>
          <w:vertAlign w:val="subscript"/>
        </w:rPr>
        <w:t xml:space="preserve">t </w:t>
      </w:r>
      <w:r w:rsidRPr="00600F9F">
        <w:rPr>
          <w:rFonts w:asciiTheme="majorHAnsi" w:hAnsiTheme="majorHAnsi" w:cs="Times New Roman"/>
        </w:rPr>
        <w:t>(trend, vol, liquidity, flow, microstructure).</w:t>
      </w:r>
    </w:p>
    <w:p w14:paraId="310EF7E6" w14:textId="50A7A4D4" w:rsidR="001676A0" w:rsidRPr="00600F9F" w:rsidRDefault="001676A0" w:rsidP="001676A0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Labeler: </w:t>
      </w:r>
      <w:r w:rsidRPr="00600F9F">
        <w:rPr>
          <w:rFonts w:ascii="Cambria Math" w:hAnsi="Cambria Math" w:cs="Cambria Math"/>
        </w:rPr>
        <w:t>𝑔</w:t>
      </w:r>
      <w:r w:rsidRPr="00600F9F">
        <w:rPr>
          <w:rFonts w:asciiTheme="majorHAnsi" w:hAnsiTheme="majorHAnsi" w:cs="Times New Roman"/>
          <w:vertAlign w:val="subscript"/>
        </w:rPr>
        <w:t>TF</w:t>
      </w:r>
      <w:r w:rsidRPr="00600F9F">
        <w:rPr>
          <w:rFonts w:asciiTheme="majorHAnsi" w:hAnsiTheme="majorHAnsi" w:cs="Times New Roman"/>
        </w:rPr>
        <w:t xml:space="preserve">: </w:t>
      </w:r>
      <w:r w:rsidRPr="00600F9F">
        <w:rPr>
          <w:rFonts w:ascii="Cambria Math" w:hAnsi="Cambria Math" w:cs="Cambria Math"/>
        </w:rPr>
        <w:t>𝑥</w:t>
      </w:r>
      <w:r w:rsidRPr="00600F9F">
        <w:rPr>
          <w:rFonts w:asciiTheme="majorHAnsi" w:hAnsiTheme="majorHAnsi" w:cs="Times New Roman"/>
          <w:vertAlign w:val="subscript"/>
        </w:rPr>
        <w:t xml:space="preserve">t </w:t>
      </w:r>
      <w:r w:rsidRPr="00600F9F">
        <w:rPr>
          <w:rFonts w:ascii="Cambria Math" w:hAnsi="Cambria Math" w:cs="Cambria Math"/>
        </w:rPr>
        <w:t>↦</w:t>
      </w:r>
      <w:r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Theme="majorHAnsi" w:hAnsiTheme="majorHAnsi" w:cs="Times New Roman"/>
          <w:vertAlign w:val="subscript"/>
        </w:rPr>
        <w:t xml:space="preserve">t </w:t>
      </w:r>
      <w:r w:rsidRPr="00600F9F">
        <w:rPr>
          <w:rFonts w:asciiTheme="majorHAnsi" w:hAnsiTheme="majorHAnsi" w:cs="Times New Roman"/>
        </w:rPr>
        <w:t>maps features to a regime on a given time frame (TF).</w:t>
      </w:r>
    </w:p>
    <w:p w14:paraId="483085B6" w14:textId="21CCA7EF" w:rsidR="001676A0" w:rsidRPr="00600F9F" w:rsidRDefault="001676A0" w:rsidP="001676A0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Policy: π</w:t>
      </w:r>
      <w:proofErr w:type="gramStart"/>
      <w:r w:rsidRPr="00600F9F">
        <w:rPr>
          <w:rFonts w:asciiTheme="majorHAnsi" w:hAnsiTheme="majorHAnsi" w:cs="Times New Roman"/>
          <w:vertAlign w:val="subscript"/>
        </w:rPr>
        <w:t>TF</w:t>
      </w:r>
      <w:r w:rsidRPr="00600F9F">
        <w:rPr>
          <w:rFonts w:asciiTheme="majorHAnsi" w:hAnsiTheme="majorHAnsi" w:cs="Times New Roman"/>
        </w:rPr>
        <w:t>(</w:t>
      </w:r>
      <w:proofErr w:type="spellStart"/>
      <w:proofErr w:type="gramEnd"/>
      <w:r w:rsidRPr="00600F9F">
        <w:rPr>
          <w:rFonts w:asciiTheme="majorHAnsi" w:hAnsiTheme="majorHAnsi" w:cs="Times New Roman"/>
        </w:rPr>
        <w:t>s</w:t>
      </w:r>
      <w:r w:rsidRPr="00600F9F">
        <w:rPr>
          <w:rFonts w:asciiTheme="majorHAnsi" w:hAnsiTheme="majorHAnsi" w:cs="Times New Roman"/>
          <w:vertAlign w:val="subscript"/>
        </w:rPr>
        <w:t>t</w:t>
      </w:r>
      <w:proofErr w:type="spellEnd"/>
      <w:r w:rsidRPr="00600F9F">
        <w:rPr>
          <w:rFonts w:asciiTheme="majorHAnsi" w:hAnsiTheme="majorHAnsi" w:cs="Times New Roman"/>
        </w:rPr>
        <w:t>)</w:t>
      </w:r>
      <w:r w:rsidR="00A34856"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Theme="majorHAnsi" w:hAnsiTheme="majorHAnsi" w:cs="Times New Roman"/>
        </w:rPr>
        <w:t>→ playbook &amp; risk (entries, exits, sizing, order types, exposure caps).</w:t>
      </w:r>
    </w:p>
    <w:p w14:paraId="72E74FB9" w14:textId="0876F212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Stability condition (intuition): within a regime, distributional drift is “small”:</w:t>
      </w:r>
      <w:r w:rsidR="00A34856"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="Cambria Math" w:hAnsi="Cambria Math" w:cs="Cambria Math"/>
        </w:rPr>
        <w:t>𝐷</w:t>
      </w:r>
      <w:r w:rsidRPr="00600F9F">
        <w:rPr>
          <w:rFonts w:asciiTheme="majorHAnsi" w:hAnsiTheme="majorHAnsi" w:cs="Times New Roman"/>
        </w:rPr>
        <w:t>(</w:t>
      </w:r>
      <w:r w:rsidRPr="00600F9F">
        <w:rPr>
          <w:rFonts w:ascii="Cambria Math" w:hAnsi="Cambria Math" w:cs="Cambria Math"/>
        </w:rPr>
        <w:t>𝑃</w:t>
      </w:r>
      <w:proofErr w:type="spellStart"/>
      <w:r w:rsidRPr="00600F9F">
        <w:rPr>
          <w:rFonts w:asciiTheme="majorHAnsi" w:hAnsiTheme="majorHAnsi" w:cs="Times New Roman"/>
          <w:vertAlign w:val="subscript"/>
        </w:rPr>
        <w:t>t|s</w:t>
      </w:r>
      <w:proofErr w:type="spellEnd"/>
      <w:r w:rsidRPr="00600F9F">
        <w:rPr>
          <w:rFonts w:ascii="Cambria Math" w:hAnsi="Cambria Math" w:cs="Cambria Math"/>
        </w:rPr>
        <w:t>∥𝑃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  <w:vertAlign w:val="subscript"/>
        </w:rPr>
        <w:t>+Δ</w:t>
      </w:r>
      <w:r w:rsidRPr="00600F9F">
        <w:rPr>
          <w:rFonts w:ascii="Cambria Math" w:hAnsi="Cambria Math" w:cs="Cambria Math"/>
          <w:vertAlign w:val="subscript"/>
        </w:rPr>
        <w:t>∣𝑠</w:t>
      </w:r>
      <w:r w:rsidRPr="00600F9F">
        <w:rPr>
          <w:rFonts w:asciiTheme="majorHAnsi" w:hAnsiTheme="majorHAnsi" w:cs="Times New Roman"/>
        </w:rPr>
        <w:t xml:space="preserve">) &lt; </w:t>
      </w:r>
      <w:r w:rsidRPr="00600F9F">
        <w:rPr>
          <w:rFonts w:ascii="Cambria Math" w:hAnsi="Cambria Math" w:cs="Cambria Math"/>
        </w:rPr>
        <w:t>𝜖</w:t>
      </w:r>
      <w:r w:rsidRPr="00600F9F">
        <w:rPr>
          <w:rFonts w:asciiTheme="majorHAnsi" w:hAnsiTheme="majorHAnsi" w:cs="Times New Roman"/>
        </w:rPr>
        <w:t xml:space="preserve"> for practical Δ (measured via rolling KS/KL/PSI or performance stability).</w:t>
      </w:r>
    </w:p>
    <w:p w14:paraId="4222447F" w14:textId="1C0D687C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Persistence: expected dwell </w:t>
      </w:r>
      <w:proofErr w:type="gramStart"/>
      <w:r w:rsidRPr="00600F9F">
        <w:rPr>
          <w:rFonts w:asciiTheme="majorHAnsi" w:hAnsiTheme="majorHAnsi" w:cs="Times New Roman"/>
        </w:rPr>
        <w:t xml:space="preserve">time </w:t>
      </w:r>
      <w:r w:rsidRPr="00600F9F">
        <w:rPr>
          <w:rFonts w:ascii="Cambria Math" w:hAnsi="Cambria Math" w:cs="Cambria Math"/>
        </w:rPr>
        <w:t>𝐸</w:t>
      </w:r>
      <w:proofErr w:type="gramEnd"/>
      <w:r w:rsidRPr="00600F9F">
        <w:rPr>
          <w:rFonts w:asciiTheme="majorHAnsi" w:hAnsiTheme="majorHAnsi" w:cs="Times New Roman"/>
        </w:rPr>
        <w:t>[</w:t>
      </w:r>
      <w:proofErr w:type="gramStart"/>
      <w:r w:rsidRPr="00600F9F">
        <w:rPr>
          <w:rFonts w:ascii="Cambria Math" w:hAnsi="Cambria Math" w:cs="Cambria Math"/>
        </w:rPr>
        <w:t>𝜏</w:t>
      </w:r>
      <w:r w:rsidRPr="00600F9F">
        <w:rPr>
          <w:rFonts w:ascii="Cambria Math" w:hAnsi="Cambria Math" w:cs="Cambria Math"/>
          <w:vertAlign w:val="subscript"/>
        </w:rPr>
        <w:t>𝑠</w:t>
      </w:r>
      <w:r w:rsidRPr="00600F9F">
        <w:rPr>
          <w:rFonts w:asciiTheme="majorHAnsi" w:hAnsiTheme="majorHAnsi" w:cs="Times New Roman"/>
        </w:rPr>
        <w:t>] exceeds</w:t>
      </w:r>
      <w:proofErr w:type="gramEnd"/>
      <w:r w:rsidRPr="00600F9F">
        <w:rPr>
          <w:rFonts w:asciiTheme="majorHAnsi" w:hAnsiTheme="majorHAnsi" w:cs="Times New Roman"/>
        </w:rPr>
        <w:t xml:space="preserve"> a minimum so policy differences can pay for costs.</w:t>
      </w:r>
    </w:p>
    <w:p w14:paraId="28C96CA7" w14:textId="72119A87" w:rsidR="001676A0" w:rsidRPr="00600F9F" w:rsidRDefault="001676A0" w:rsidP="00A3485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What </w:t>
      </w:r>
      <w:r w:rsidR="00A34856" w:rsidRPr="00600F9F">
        <w:rPr>
          <w:rFonts w:asciiTheme="majorHAnsi" w:hAnsiTheme="majorHAnsi" w:cs="Times New Roman"/>
        </w:rPr>
        <w:t>a regime</w:t>
      </w:r>
      <w:r w:rsidRPr="00600F9F">
        <w:rPr>
          <w:rFonts w:asciiTheme="majorHAnsi" w:hAnsiTheme="majorHAnsi" w:cs="Times New Roman"/>
        </w:rPr>
        <w:t xml:space="preserve"> implies</w:t>
      </w:r>
      <w:r w:rsidR="00A34856" w:rsidRPr="00600F9F">
        <w:rPr>
          <w:rFonts w:asciiTheme="majorHAnsi" w:hAnsiTheme="majorHAnsi" w:cs="Times New Roman"/>
        </w:rPr>
        <w:t>:</w:t>
      </w:r>
    </w:p>
    <w:p w14:paraId="663556B3" w14:textId="473A16E2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proofErr w:type="gramStart"/>
      <w:r w:rsidRPr="00600F9F">
        <w:rPr>
          <w:rFonts w:asciiTheme="majorHAnsi" w:hAnsiTheme="majorHAnsi" w:cs="Times New Roman"/>
        </w:rPr>
        <w:t>Time-frame</w:t>
      </w:r>
      <w:proofErr w:type="gramEnd"/>
      <w:r w:rsidRPr="00600F9F">
        <w:rPr>
          <w:rFonts w:asciiTheme="majorHAnsi" w:hAnsiTheme="majorHAnsi" w:cs="Times New Roman"/>
        </w:rPr>
        <w:t xml:space="preserve"> scoped: every regime is labeled per TF, e.g., Weekly Uptrend+Normal Vol, Daily Pullback.</w:t>
      </w:r>
    </w:p>
    <w:p w14:paraId="276CAD97" w14:textId="54AA9062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Feature-based: identified by measurable inputs, for example EMA stacks for trend, ATR% or realized vol for volatility, spread and slippage for liquidity, basis or funding for flow.</w:t>
      </w:r>
    </w:p>
    <w:p w14:paraId="78DE42C3" w14:textId="7456105B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Persistent, not static: lasts long enough to justify different tactics; includes hysteresis rules to avoid flip-flopping.</w:t>
      </w:r>
    </w:p>
    <w:p w14:paraId="792B1DE9" w14:textId="367EF3A0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Actionable: </w:t>
      </w:r>
      <w:proofErr w:type="gramStart"/>
      <w:r w:rsidRPr="00600F9F">
        <w:rPr>
          <w:rFonts w:asciiTheme="majorHAnsi" w:hAnsiTheme="majorHAnsi" w:cs="Times New Roman"/>
        </w:rPr>
        <w:t>each</w:t>
      </w:r>
      <w:proofErr w:type="gramEnd"/>
      <w:r w:rsidRPr="00600F9F">
        <w:rPr>
          <w:rFonts w:asciiTheme="majorHAnsi" w:hAnsiTheme="majorHAnsi" w:cs="Times New Roman"/>
        </w:rPr>
        <w:t xml:space="preserve"> regime maps to concrete changes in entries, exits, sizing, order types, and portfolio caps.</w:t>
      </w:r>
    </w:p>
    <w:p w14:paraId="3046EF18" w14:textId="0DDE192B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Testable: you can evaluate </w:t>
      </w:r>
      <w:proofErr w:type="spellStart"/>
      <w:r w:rsidRPr="00600F9F">
        <w:rPr>
          <w:rFonts w:asciiTheme="majorHAnsi" w:hAnsiTheme="majorHAnsi" w:cs="Times New Roman"/>
        </w:rPr>
        <w:t>PnL</w:t>
      </w:r>
      <w:proofErr w:type="spellEnd"/>
      <w:r w:rsidRPr="00600F9F">
        <w:rPr>
          <w:rFonts w:asciiTheme="majorHAnsi" w:hAnsiTheme="majorHAnsi" w:cs="Times New Roman"/>
        </w:rPr>
        <w:t>, Sharpe, MAR, MAE/MFE by regime to confirm the edge.</w:t>
      </w:r>
    </w:p>
    <w:p w14:paraId="2C4F43D6" w14:textId="77777777" w:rsidR="001676A0" w:rsidRPr="00600F9F" w:rsidRDefault="001676A0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Hierarchical: higher layers (cycle, weekly) set guardrails; lower layers (daily, intraday) refine tactics as sub-regimes.</w:t>
      </w:r>
    </w:p>
    <w:p w14:paraId="6529C5AA" w14:textId="56BC9B7B" w:rsidR="00A34856" w:rsidRPr="00600F9F" w:rsidRDefault="00A34856" w:rsidP="00A34856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What a regime is not:</w:t>
      </w:r>
    </w:p>
    <w:p w14:paraId="2A3E9875" w14:textId="77777777" w:rsidR="00A34856" w:rsidRPr="00600F9F" w:rsidRDefault="00A34856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Not a one-bar signal or a pattern; signals fire inside regimes.</w:t>
      </w:r>
    </w:p>
    <w:p w14:paraId="57EC2CEA" w14:textId="0895318F" w:rsidR="00A34856" w:rsidRPr="00600F9F" w:rsidRDefault="00A34856" w:rsidP="00A34856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Style w:val="Strong"/>
          <w:rFonts w:asciiTheme="majorHAnsi" w:eastAsiaTheme="majorEastAsia" w:hAnsiTheme="majorHAnsi" w:cs="Times New Roman"/>
          <w:b w:val="0"/>
          <w:bCs w:val="0"/>
        </w:rPr>
        <w:t>Signal:</w:t>
      </w:r>
      <w:r w:rsidRPr="00600F9F">
        <w:rPr>
          <w:rFonts w:asciiTheme="majorHAnsi" w:hAnsiTheme="majorHAnsi" w:cs="Times New Roman"/>
        </w:rPr>
        <w:t xml:space="preserve"> a momentary trigger inside a regime, e.g., “4H pullback to 34 EMA.”</w:t>
      </w:r>
    </w:p>
    <w:p w14:paraId="27DE4BFB" w14:textId="18E105E4" w:rsidR="00A34856" w:rsidRPr="00600F9F" w:rsidRDefault="00A34856" w:rsidP="00A34856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lastRenderedPageBreak/>
        <w:t xml:space="preserve">Not a fixed calendar era; regimes transition via a state process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  <w:vertAlign w:val="subscript"/>
        </w:rPr>
        <w:t xml:space="preserve">−1 </w:t>
      </w:r>
      <w:r w:rsidRPr="00600F9F">
        <w:rPr>
          <w:rFonts w:asciiTheme="majorHAnsi" w:hAnsiTheme="majorHAnsi" w:cs="Times New Roman"/>
        </w:rPr>
        <w:t xml:space="preserve">→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</w:rPr>
        <w:t>.</w:t>
      </w:r>
    </w:p>
    <w:p w14:paraId="73250FBD" w14:textId="177B9C73" w:rsidR="00A34856" w:rsidRPr="00600F9F" w:rsidRDefault="00A34856" w:rsidP="00A34856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Style w:val="Strong"/>
          <w:rFonts w:asciiTheme="majorHAnsi" w:hAnsiTheme="majorHAnsi" w:cs="Times New Roman"/>
          <w:b w:val="0"/>
          <w:bCs w:val="0"/>
        </w:rPr>
        <w:t>Setup:</w:t>
      </w:r>
      <w:r w:rsidRPr="00600F9F">
        <w:rPr>
          <w:rFonts w:asciiTheme="majorHAnsi" w:hAnsiTheme="majorHAnsi" w:cs="Times New Roman"/>
        </w:rPr>
        <w:t xml:space="preserve"> a template pattern that may be allowed or blocked depending on the current regime</w:t>
      </w:r>
    </w:p>
    <w:p w14:paraId="7773A448" w14:textId="0FB4DDC4" w:rsidR="00A34856" w:rsidRPr="00600F9F" w:rsidRDefault="00A03DA3" w:rsidP="00585636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r w:rsidRPr="00600F9F">
        <w:rPr>
          <w:rFonts w:asciiTheme="majorHAnsi" w:hAnsiTheme="majorHAnsi" w:cs="Times New Roman"/>
          <w:b/>
          <w:bCs/>
        </w:rPr>
        <w:t>Time Frames</w:t>
      </w:r>
    </w:p>
    <w:p w14:paraId="1D73AEB0" w14:textId="77777777" w:rsidR="00A03DA3" w:rsidRPr="00600F9F" w:rsidRDefault="00A03DA3" w:rsidP="00A03DA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Definition</w:t>
      </w:r>
    </w:p>
    <w:p w14:paraId="48DECD9B" w14:textId="66A9DC42" w:rsidR="00A03DA3" w:rsidRPr="00600F9F" w:rsidRDefault="00A03DA3" w:rsidP="00A03DA3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A time frame (TF) is the bar interval on which you measure features, label regimes, and bind a policy. Each TF has its own regime because behavior is </w:t>
      </w:r>
      <w:proofErr w:type="gramStart"/>
      <w:r w:rsidRPr="00600F9F">
        <w:rPr>
          <w:rFonts w:asciiTheme="majorHAnsi" w:hAnsiTheme="majorHAnsi" w:cs="Times New Roman"/>
        </w:rPr>
        <w:t>scale-dependent</w:t>
      </w:r>
      <w:proofErr w:type="gramEnd"/>
      <w:r w:rsidRPr="00600F9F">
        <w:rPr>
          <w:rFonts w:asciiTheme="majorHAnsi" w:hAnsiTheme="majorHAnsi" w:cs="Times New Roman"/>
        </w:rPr>
        <w:t>.</w:t>
      </w:r>
    </w:p>
    <w:p w14:paraId="798D90A1" w14:textId="049BA8D3" w:rsidR="00A03DA3" w:rsidRPr="00600F9F" w:rsidRDefault="00A03DA3" w:rsidP="00A03DA3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Hierarchy</w:t>
      </w:r>
    </w:p>
    <w:p w14:paraId="648E1AAD" w14:textId="77777777" w:rsidR="00A03DA3" w:rsidRPr="00600F9F" w:rsidRDefault="00A03DA3" w:rsidP="00A03DA3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L0 — Cycle (Monthly or Quarterly)</w:t>
      </w:r>
    </w:p>
    <w:p w14:paraId="6F825690" w14:textId="252D40A1" w:rsidR="00A03DA3" w:rsidRPr="00600F9F" w:rsidRDefault="00A03DA3" w:rsidP="00A03DA3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L1 — Macro (Weekly)</w:t>
      </w:r>
    </w:p>
    <w:p w14:paraId="3F103A9B" w14:textId="77777777" w:rsidR="00A03DA3" w:rsidRPr="00600F9F" w:rsidRDefault="00A03DA3" w:rsidP="00A03DA3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L2 — </w:t>
      </w:r>
      <w:proofErr w:type="spellStart"/>
      <w:r w:rsidRPr="00600F9F">
        <w:rPr>
          <w:rFonts w:asciiTheme="majorHAnsi" w:hAnsiTheme="majorHAnsi" w:cs="Times New Roman"/>
        </w:rPr>
        <w:t>Meso</w:t>
      </w:r>
      <w:proofErr w:type="spellEnd"/>
      <w:r w:rsidRPr="00600F9F">
        <w:rPr>
          <w:rFonts w:asciiTheme="majorHAnsi" w:hAnsiTheme="majorHAnsi" w:cs="Times New Roman"/>
        </w:rPr>
        <w:t xml:space="preserve"> (Daily)</w:t>
      </w:r>
    </w:p>
    <w:p w14:paraId="763C0528" w14:textId="77777777" w:rsidR="00A03DA3" w:rsidRPr="00600F9F" w:rsidRDefault="00A03DA3" w:rsidP="00A03DA3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L3 — Micro (4H/1H)</w:t>
      </w:r>
    </w:p>
    <w:p w14:paraId="4D34DCA5" w14:textId="46023616" w:rsidR="00A03DA3" w:rsidRPr="00600F9F" w:rsidRDefault="00A03DA3" w:rsidP="00A03DA3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L4 — Execution (15–60m)</w:t>
      </w:r>
    </w:p>
    <w:p w14:paraId="4295BA68" w14:textId="77777777" w:rsidR="00230255" w:rsidRPr="00600F9F" w:rsidRDefault="00230255" w:rsidP="00230255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bCs/>
        </w:rPr>
      </w:pPr>
      <w:bookmarkStart w:id="1" w:name="_Hlk213664107"/>
      <w:r w:rsidRPr="00600F9F">
        <w:rPr>
          <w:rFonts w:asciiTheme="majorHAnsi" w:hAnsiTheme="majorHAnsi" w:cs="Times New Roman"/>
          <w:b/>
          <w:bCs/>
        </w:rPr>
        <w:t xml:space="preserve">Hysteresis </w:t>
      </w:r>
      <w:bookmarkEnd w:id="1"/>
    </w:p>
    <w:p w14:paraId="48750DEA" w14:textId="77777777" w:rsidR="00230255" w:rsidRPr="00600F9F" w:rsidRDefault="00230255" w:rsidP="0023025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Definition</w:t>
      </w:r>
    </w:p>
    <w:p w14:paraId="54C3450D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bookmarkStart w:id="2" w:name="_Hlk213664125"/>
      <w:r w:rsidRPr="00600F9F">
        <w:rPr>
          <w:rFonts w:asciiTheme="majorHAnsi" w:hAnsiTheme="majorHAnsi" w:cs="Times New Roman"/>
        </w:rPr>
        <w:t>Hysteresis = don’t flip states the instant a threshold is crossed; require extra confirmation or a buffer so you don’t ping-pong. It’s a “stickiness” rule for regimes.</w:t>
      </w:r>
    </w:p>
    <w:p w14:paraId="52C21DDB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Plain idea (thermostat analogy)</w:t>
      </w:r>
    </w:p>
    <w:p w14:paraId="30DE0819" w14:textId="77777777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Without hysteresis: heater turns on at 70.0°F and off at 70.0°F → rapid on/off jitter.</w:t>
      </w:r>
    </w:p>
    <w:p w14:paraId="245DA4F3" w14:textId="77777777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With hysteresis: turn on below 69°F, turn off above 71°F → stable behavior.</w:t>
      </w:r>
    </w:p>
    <w:p w14:paraId="548F6C43" w14:textId="1D39389C" w:rsidR="00230255" w:rsidRPr="00600F9F" w:rsidRDefault="00230255" w:rsidP="0023025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bookmarkStart w:id="3" w:name="_Hlk213664166"/>
      <w:bookmarkEnd w:id="2"/>
      <w:r w:rsidRPr="00600F9F">
        <w:rPr>
          <w:rFonts w:asciiTheme="majorHAnsi" w:hAnsiTheme="majorHAnsi" w:cs="Times New Roman"/>
        </w:rPr>
        <w:t>In trading regimes:</w:t>
      </w:r>
    </w:p>
    <w:p w14:paraId="4A6D9F59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You apply hysteresis to trend/vol/liquidity </w:t>
      </w:r>
      <w:proofErr w:type="gramStart"/>
      <w:r w:rsidRPr="00600F9F">
        <w:rPr>
          <w:rFonts w:asciiTheme="majorHAnsi" w:hAnsiTheme="majorHAnsi" w:cs="Times New Roman"/>
        </w:rPr>
        <w:t>labels</w:t>
      </w:r>
      <w:proofErr w:type="gramEnd"/>
      <w:r w:rsidRPr="00600F9F">
        <w:rPr>
          <w:rFonts w:asciiTheme="majorHAnsi" w:hAnsiTheme="majorHAnsi" w:cs="Times New Roman"/>
        </w:rPr>
        <w:t xml:space="preserve"> so they don’t change on tiny wiggles.</w:t>
      </w:r>
    </w:p>
    <w:p w14:paraId="557C588B" w14:textId="1E5DBB18" w:rsidR="00230255" w:rsidRPr="00600F9F" w:rsidRDefault="00230255" w:rsidP="0023025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Typical forms:</w:t>
      </w:r>
    </w:p>
    <w:p w14:paraId="4A7EBE32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Band hysteresis (two thresholds):</w:t>
      </w:r>
    </w:p>
    <w:p w14:paraId="6B84381C" w14:textId="4A697372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Uptrend → Sideways only if fast EMA drops below mid EMA by more than δ.</w:t>
      </w:r>
    </w:p>
    <w:p w14:paraId="48867B52" w14:textId="1A16B1A8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Sideways → Uptrend only if fast EMA rises above mid EMA by more than δ.</w:t>
      </w:r>
      <w:r w:rsidR="0081069A"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Theme="majorHAnsi" w:hAnsiTheme="majorHAnsi" w:cs="Times New Roman"/>
        </w:rPr>
        <w:t>(δ is a buffer, e.g., 0.3–0.7 ATR or 0.5–1.0% of price.)</w:t>
      </w:r>
    </w:p>
    <w:p w14:paraId="2C574DC0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bookmarkStart w:id="4" w:name="_Hlk213664313"/>
      <w:bookmarkEnd w:id="3"/>
      <w:r w:rsidRPr="00600F9F">
        <w:rPr>
          <w:rFonts w:asciiTheme="majorHAnsi" w:hAnsiTheme="majorHAnsi" w:cs="Times New Roman"/>
        </w:rPr>
        <w:t>Time hysteresis (confirm bars):</w:t>
      </w:r>
    </w:p>
    <w:p w14:paraId="5BF0852B" w14:textId="77777777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 new label must hold for k bars (e.g., 2 daily closes, 2 weekly closes).</w:t>
      </w:r>
    </w:p>
    <w:p w14:paraId="4BF8A4C7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Percentile gaps (for vol buckets):</w:t>
      </w:r>
    </w:p>
    <w:p w14:paraId="65864612" w14:textId="77777777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lastRenderedPageBreak/>
        <w:t xml:space="preserve">Move from </w:t>
      </w:r>
      <w:proofErr w:type="spellStart"/>
      <w:r w:rsidRPr="00600F9F">
        <w:rPr>
          <w:rFonts w:asciiTheme="majorHAnsi" w:hAnsiTheme="majorHAnsi" w:cs="Times New Roman"/>
        </w:rPr>
        <w:t>Normal→High</w:t>
      </w:r>
      <w:proofErr w:type="spellEnd"/>
      <w:r w:rsidRPr="00600F9F">
        <w:rPr>
          <w:rFonts w:asciiTheme="majorHAnsi" w:hAnsiTheme="majorHAnsi" w:cs="Times New Roman"/>
        </w:rPr>
        <w:t xml:space="preserve"> only if vol percentile &gt; 70; return to Normal only if &lt; 60.</w:t>
      </w:r>
    </w:p>
    <w:p w14:paraId="515C24A2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Cooldowns / dwell times:</w:t>
      </w:r>
    </w:p>
    <w:p w14:paraId="6C7E13A0" w14:textId="77777777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After any flip, enforce a minimum dwell (e.g., no new flip for 3 bars).</w:t>
      </w:r>
    </w:p>
    <w:p w14:paraId="0C4204D5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Cost-aware hysteresis:</w:t>
      </w:r>
    </w:p>
    <w:p w14:paraId="7418BC49" w14:textId="77777777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Require a stronger condition to flip into a costlier regime (e.g., from Up to Down) than to flip back (asymmetry).</w:t>
      </w:r>
    </w:p>
    <w:p w14:paraId="2E36BC71" w14:textId="77777777" w:rsidR="00230255" w:rsidRPr="00600F9F" w:rsidRDefault="00230255" w:rsidP="0023025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bookmarkStart w:id="5" w:name="_Hlk213664341"/>
      <w:bookmarkEnd w:id="4"/>
      <w:r w:rsidRPr="00600F9F">
        <w:rPr>
          <w:rFonts w:asciiTheme="majorHAnsi" w:hAnsiTheme="majorHAnsi" w:cs="Times New Roman"/>
        </w:rPr>
        <w:t>Why it matters</w:t>
      </w:r>
    </w:p>
    <w:p w14:paraId="13551B81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Cuts whipsaw and transaction costs.</w:t>
      </w:r>
    </w:p>
    <w:p w14:paraId="5EA276CB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Stabilizes playbook and sizing (fewer policy thrashes).</w:t>
      </w:r>
    </w:p>
    <w:p w14:paraId="54375A5D" w14:textId="430CD70A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Makes </w:t>
      </w:r>
      <w:proofErr w:type="spellStart"/>
      <w:r w:rsidRPr="00600F9F">
        <w:rPr>
          <w:rFonts w:asciiTheme="majorHAnsi" w:hAnsiTheme="majorHAnsi" w:cs="Times New Roman"/>
        </w:rPr>
        <w:t>backtests</w:t>
      </w:r>
      <w:proofErr w:type="spellEnd"/>
      <w:r w:rsidRPr="00600F9F">
        <w:rPr>
          <w:rFonts w:asciiTheme="majorHAnsi" w:hAnsiTheme="majorHAnsi" w:cs="Times New Roman"/>
        </w:rPr>
        <w:t xml:space="preserve"> more realistic: labels don’t change on noise.</w:t>
      </w:r>
    </w:p>
    <w:p w14:paraId="61C90F99" w14:textId="77777777" w:rsidR="0081069A" w:rsidRPr="00600F9F" w:rsidRDefault="0081069A" w:rsidP="0081069A">
      <w:pPr>
        <w:pStyle w:val="ListParagraph"/>
        <w:ind w:left="2160"/>
        <w:rPr>
          <w:rFonts w:asciiTheme="majorHAnsi" w:hAnsiTheme="majorHAnsi" w:cs="Times New Roman"/>
        </w:rPr>
      </w:pPr>
    </w:p>
    <w:p w14:paraId="312D277D" w14:textId="77777777" w:rsidR="00230255" w:rsidRPr="00600F9F" w:rsidRDefault="00230255" w:rsidP="0023025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Quick math sketch</w:t>
      </w:r>
    </w:p>
    <w:p w14:paraId="7D29CEA4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Let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="Cambria Math" w:hAnsi="Cambria Math" w:cs="Cambria Math"/>
          <w:vertAlign w:val="subscript"/>
        </w:rPr>
        <w:t>𝑡</w:t>
      </w:r>
      <w:proofErr w:type="gramStart"/>
      <w:r w:rsidRPr="00600F9F">
        <w:rPr>
          <w:rFonts w:ascii="Cambria Math" w:hAnsi="Cambria Math" w:cs="Cambria Math"/>
        </w:rPr>
        <w:t>∈</w:t>
      </w:r>
      <w:r w:rsidRPr="00600F9F">
        <w:rPr>
          <w:rFonts w:asciiTheme="majorHAnsi" w:hAnsiTheme="majorHAnsi" w:cs="Times New Roman"/>
        </w:rPr>
        <w:t>{</w:t>
      </w:r>
      <w:proofErr w:type="gramEnd"/>
      <w:r w:rsidRPr="00600F9F">
        <w:rPr>
          <w:rFonts w:asciiTheme="majorHAnsi" w:hAnsiTheme="majorHAnsi" w:cs="Times New Roman"/>
        </w:rPr>
        <w:t xml:space="preserve">Up, Down, Sideways}. Define a score </w:t>
      </w:r>
      <w:r w:rsidRPr="00600F9F">
        <w:rPr>
          <w:rFonts w:ascii="Cambria Math" w:hAnsi="Cambria Math" w:cs="Cambria Math"/>
        </w:rPr>
        <w:t>𝑧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</w:rPr>
        <w:t xml:space="preserve"> (e.g., EMA distance in ATR units).</w:t>
      </w:r>
    </w:p>
    <w:p w14:paraId="61D6809B" w14:textId="77777777" w:rsidR="00230255" w:rsidRPr="00600F9F" w:rsidRDefault="00230255" w:rsidP="00230255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Transition rules with band + time hysteresis:</w:t>
      </w:r>
    </w:p>
    <w:p w14:paraId="000D679C" w14:textId="3DB8D75C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If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  <w:vertAlign w:val="subscript"/>
        </w:rPr>
        <w:t xml:space="preserve">−1 </w:t>
      </w:r>
      <w:r w:rsidRPr="00600F9F">
        <w:rPr>
          <w:rFonts w:asciiTheme="majorHAnsi" w:hAnsiTheme="majorHAnsi" w:cs="Times New Roman"/>
        </w:rPr>
        <w:t xml:space="preserve">= Up and </w:t>
      </w:r>
      <w:r w:rsidRPr="00600F9F">
        <w:rPr>
          <w:rFonts w:ascii="Cambria Math" w:hAnsi="Cambria Math" w:cs="Cambria Math"/>
        </w:rPr>
        <w:t>𝑧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  <w:vertAlign w:val="subscript"/>
        </w:rPr>
        <w:t xml:space="preserve"> </w:t>
      </w:r>
      <w:r w:rsidRPr="00600F9F">
        <w:rPr>
          <w:rFonts w:asciiTheme="majorHAnsi" w:hAnsiTheme="majorHAnsi" w:cs="Times New Roman"/>
        </w:rPr>
        <w:t>&lt; −</w:t>
      </w:r>
      <w:r w:rsidRPr="00600F9F">
        <w:rPr>
          <w:rFonts w:ascii="Cambria Math" w:hAnsi="Cambria Math" w:cs="Cambria Math"/>
        </w:rPr>
        <w:t>𝛿</w:t>
      </w:r>
      <w:r w:rsidRPr="00600F9F">
        <w:rPr>
          <w:rFonts w:asciiTheme="majorHAnsi" w:hAnsiTheme="majorHAnsi" w:cs="Times New Roman"/>
        </w:rPr>
        <w:t xml:space="preserve"> for k bars </w:t>
      </w:r>
      <w:r w:rsidRPr="00600F9F">
        <w:rPr>
          <w:rFonts w:ascii="Cambria Math" w:hAnsi="Cambria Math" w:cs="Cambria Math"/>
        </w:rPr>
        <w:t>⇒</w:t>
      </w:r>
      <w:r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  <w:vertAlign w:val="subscript"/>
        </w:rPr>
        <w:t xml:space="preserve"> </w:t>
      </w:r>
      <w:r w:rsidRPr="00600F9F">
        <w:rPr>
          <w:rFonts w:asciiTheme="majorHAnsi" w:hAnsiTheme="majorHAnsi" w:cs="Times New Roman"/>
        </w:rPr>
        <w:t>= Sideways.</w:t>
      </w:r>
    </w:p>
    <w:p w14:paraId="1B466004" w14:textId="47C507BB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If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  <w:vertAlign w:val="subscript"/>
        </w:rPr>
        <w:t>−1</w:t>
      </w:r>
      <w:r w:rsidRPr="00600F9F">
        <w:rPr>
          <w:rFonts w:asciiTheme="majorHAnsi" w:hAnsiTheme="majorHAnsi" w:cs="Times New Roman"/>
        </w:rPr>
        <w:t xml:space="preserve"> = Sideways and </w:t>
      </w:r>
      <w:r w:rsidRPr="00600F9F">
        <w:rPr>
          <w:rFonts w:ascii="Cambria Math" w:hAnsi="Cambria Math" w:cs="Cambria Math"/>
        </w:rPr>
        <w:t>𝑧</w:t>
      </w:r>
      <w:r w:rsidRPr="00600F9F">
        <w:rPr>
          <w:rFonts w:ascii="Cambria Math" w:hAnsi="Cambria Math" w:cs="Cambria Math"/>
          <w:vertAlign w:val="subscript"/>
        </w:rPr>
        <w:t>𝑡</w:t>
      </w:r>
      <w:r w:rsidRPr="00600F9F">
        <w:rPr>
          <w:rFonts w:asciiTheme="majorHAnsi" w:hAnsiTheme="majorHAnsi" w:cs="Times New Roman"/>
        </w:rPr>
        <w:t xml:space="preserve"> &gt;</w:t>
      </w:r>
      <w:r w:rsidR="0081069A"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Theme="majorHAnsi" w:hAnsiTheme="majorHAnsi" w:cs="Times New Roman"/>
        </w:rPr>
        <w:t>+</w:t>
      </w:r>
      <w:r w:rsidRPr="00600F9F">
        <w:rPr>
          <w:rFonts w:ascii="Cambria Math" w:hAnsi="Cambria Math" w:cs="Cambria Math"/>
        </w:rPr>
        <w:t>𝛿</w:t>
      </w:r>
      <w:r w:rsidR="0081069A"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Theme="majorHAnsi" w:hAnsiTheme="majorHAnsi" w:cs="Times New Roman"/>
        </w:rPr>
        <w:t xml:space="preserve">for k bars </w:t>
      </w:r>
      <w:r w:rsidRPr="00600F9F">
        <w:rPr>
          <w:rFonts w:ascii="Cambria Math" w:hAnsi="Cambria Math" w:cs="Cambria Math"/>
        </w:rPr>
        <w:t>⇒</w:t>
      </w:r>
      <w:r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="Cambria Math" w:hAnsi="Cambria Math" w:cs="Cambria Math"/>
        </w:rPr>
        <w:t>𝑠</w:t>
      </w:r>
      <w:r w:rsidRPr="00600F9F">
        <w:rPr>
          <w:rFonts w:ascii="Cambria Math" w:hAnsi="Cambria Math" w:cs="Cambria Math"/>
          <w:vertAlign w:val="subscript"/>
        </w:rPr>
        <w:t>𝑡</w:t>
      </w:r>
      <w:r w:rsidR="0081069A" w:rsidRPr="00600F9F">
        <w:rPr>
          <w:rFonts w:asciiTheme="majorHAnsi" w:hAnsiTheme="majorHAnsi" w:cs="Times New Roman"/>
          <w:vertAlign w:val="subscript"/>
        </w:rPr>
        <w:t xml:space="preserve"> </w:t>
      </w:r>
      <w:r w:rsidRPr="00600F9F">
        <w:rPr>
          <w:rFonts w:asciiTheme="majorHAnsi" w:hAnsiTheme="majorHAnsi" w:cs="Times New Roman"/>
        </w:rPr>
        <w:t>=</w:t>
      </w:r>
      <w:r w:rsidR="0081069A"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Theme="majorHAnsi" w:hAnsiTheme="majorHAnsi" w:cs="Times New Roman"/>
        </w:rPr>
        <w:t>Up.</w:t>
      </w:r>
    </w:p>
    <w:p w14:paraId="674639F1" w14:textId="3E3CA2A8" w:rsidR="00230255" w:rsidRPr="00600F9F" w:rsidRDefault="00230255" w:rsidP="00230255">
      <w:pPr>
        <w:pStyle w:val="ListParagraph"/>
        <w:numPr>
          <w:ilvl w:val="3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Similar for Down; set </w:t>
      </w:r>
      <w:r w:rsidRPr="00600F9F">
        <w:rPr>
          <w:rFonts w:ascii="Cambria Math" w:hAnsi="Cambria Math" w:cs="Cambria Math"/>
        </w:rPr>
        <w:t>𝛿</w:t>
      </w:r>
      <w:r w:rsidRPr="00600F9F">
        <w:rPr>
          <w:rFonts w:asciiTheme="majorHAnsi" w:hAnsiTheme="majorHAnsi" w:cs="Times New Roman"/>
          <w:vertAlign w:val="subscript"/>
        </w:rPr>
        <w:t>up</w:t>
      </w:r>
      <w:r w:rsidR="0081069A" w:rsidRPr="00600F9F">
        <w:rPr>
          <w:rFonts w:asciiTheme="majorHAnsi" w:hAnsiTheme="majorHAnsi" w:cs="Times New Roman"/>
        </w:rPr>
        <w:t xml:space="preserve">, </w:t>
      </w:r>
      <w:r w:rsidRPr="00600F9F">
        <w:rPr>
          <w:rFonts w:ascii="Cambria Math" w:hAnsi="Cambria Math" w:cs="Cambria Math"/>
        </w:rPr>
        <w:t>𝛿</w:t>
      </w:r>
      <w:r w:rsidRPr="00600F9F">
        <w:rPr>
          <w:rFonts w:asciiTheme="majorHAnsi" w:hAnsiTheme="majorHAnsi" w:cs="Times New Roman"/>
          <w:vertAlign w:val="subscript"/>
        </w:rPr>
        <w:t>down</w:t>
      </w:r>
      <w:r w:rsidRPr="00600F9F">
        <w:rPr>
          <w:rFonts w:asciiTheme="majorHAnsi" w:hAnsiTheme="majorHAnsi" w:cs="Times New Roman"/>
        </w:rPr>
        <w:t xml:space="preserve"> differently if you want asymmetry.</w:t>
      </w:r>
    </w:p>
    <w:p w14:paraId="1CC9D4AB" w14:textId="77777777" w:rsidR="0081069A" w:rsidRPr="00600F9F" w:rsidRDefault="00230255" w:rsidP="00230255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Practical defaults (good starting points)</w:t>
      </w:r>
    </w:p>
    <w:p w14:paraId="72404486" w14:textId="77777777" w:rsidR="0081069A" w:rsidRPr="00600F9F" w:rsidRDefault="00230255" w:rsidP="0081069A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Daily trend: δ = 0.5–1.0 </w:t>
      </w:r>
      <w:proofErr w:type="gramStart"/>
      <w:r w:rsidRPr="00600F9F">
        <w:rPr>
          <w:rFonts w:asciiTheme="majorHAnsi" w:hAnsiTheme="majorHAnsi" w:cs="Times New Roman"/>
        </w:rPr>
        <w:t>ATR(</w:t>
      </w:r>
      <w:proofErr w:type="gramEnd"/>
      <w:r w:rsidRPr="00600F9F">
        <w:rPr>
          <w:rFonts w:asciiTheme="majorHAnsi" w:hAnsiTheme="majorHAnsi" w:cs="Times New Roman"/>
        </w:rPr>
        <w:t>14) of price; k = 2 closes.</w:t>
      </w:r>
    </w:p>
    <w:p w14:paraId="417E1BBA" w14:textId="77777777" w:rsidR="0081069A" w:rsidRPr="00600F9F" w:rsidRDefault="00230255" w:rsidP="0081069A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 xml:space="preserve">Weekly trend: δ = 0.5 </w:t>
      </w:r>
      <w:proofErr w:type="gramStart"/>
      <w:r w:rsidRPr="00600F9F">
        <w:rPr>
          <w:rFonts w:asciiTheme="majorHAnsi" w:hAnsiTheme="majorHAnsi" w:cs="Times New Roman"/>
        </w:rPr>
        <w:t>ATR(</w:t>
      </w:r>
      <w:proofErr w:type="gramEnd"/>
      <w:r w:rsidRPr="00600F9F">
        <w:rPr>
          <w:rFonts w:asciiTheme="majorHAnsi" w:hAnsiTheme="majorHAnsi" w:cs="Times New Roman"/>
        </w:rPr>
        <w:t>14w); k = 2 weekly closes.</w:t>
      </w:r>
    </w:p>
    <w:p w14:paraId="3191BBD3" w14:textId="77777777" w:rsidR="0081069A" w:rsidRPr="00600F9F" w:rsidRDefault="00230255" w:rsidP="0081069A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Vol buckets: 33/67 percentiles to classify; need a 10-pt percentile gap to revert.</w:t>
      </w:r>
    </w:p>
    <w:p w14:paraId="51A240FC" w14:textId="3224BFCE" w:rsidR="00230255" w:rsidRPr="00600F9F" w:rsidRDefault="00230255" w:rsidP="0081069A">
      <w:pPr>
        <w:pStyle w:val="ListParagraph"/>
        <w:numPr>
          <w:ilvl w:val="2"/>
          <w:numId w:val="1"/>
        </w:numPr>
        <w:rPr>
          <w:rFonts w:asciiTheme="majorHAnsi" w:hAnsiTheme="majorHAnsi" w:cs="Times New Roman"/>
        </w:rPr>
      </w:pPr>
      <w:r w:rsidRPr="00600F9F">
        <w:rPr>
          <w:rFonts w:asciiTheme="majorHAnsi" w:hAnsiTheme="majorHAnsi" w:cs="Times New Roman"/>
        </w:rPr>
        <w:t>Liquidity: mark “Stressed” only if spread/slip &gt; 2× 60-bar median for 2–3 bars.</w:t>
      </w:r>
      <w:r w:rsidR="0081069A" w:rsidRPr="00600F9F">
        <w:rPr>
          <w:rFonts w:asciiTheme="majorHAnsi" w:hAnsiTheme="majorHAnsi" w:cs="Times New Roman"/>
        </w:rPr>
        <w:t xml:space="preserve"> </w:t>
      </w:r>
      <w:r w:rsidRPr="00600F9F">
        <w:rPr>
          <w:rFonts w:asciiTheme="majorHAnsi" w:hAnsiTheme="majorHAnsi" w:cs="Times New Roman"/>
        </w:rPr>
        <w:t>Minimal pseudo-logic</w:t>
      </w:r>
    </w:p>
    <w:p w14:paraId="1819E669" w14:textId="77777777" w:rsidR="0081069A" w:rsidRPr="00600F9F" w:rsidRDefault="0081069A" w:rsidP="003F2D69">
      <w:pPr>
        <w:pStyle w:val="ListParagraph"/>
        <w:ind w:left="1440"/>
        <w:rPr>
          <w:rFonts w:asciiTheme="majorHAnsi" w:hAnsiTheme="majorHAnsi" w:cs="Times New Roman"/>
        </w:rPr>
      </w:pPr>
    </w:p>
    <w:bookmarkEnd w:id="0"/>
    <w:bookmarkEnd w:id="5"/>
    <w:p w14:paraId="59D2BDEB" w14:textId="1C783C1F" w:rsidR="001676A0" w:rsidRPr="00600F9F" w:rsidRDefault="001676A0" w:rsidP="00A34856">
      <w:pPr>
        <w:rPr>
          <w:rFonts w:asciiTheme="majorHAnsi" w:hAnsiTheme="majorHAnsi" w:cs="Times New Roman"/>
        </w:rPr>
      </w:pPr>
    </w:p>
    <w:sectPr w:rsidR="001676A0" w:rsidRPr="00600F9F" w:rsidSect="00DC7EE4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722B" w14:textId="77777777" w:rsidR="00174AE9" w:rsidRDefault="00174AE9" w:rsidP="00DC7EE4">
      <w:pPr>
        <w:spacing w:after="0" w:line="240" w:lineRule="auto"/>
      </w:pPr>
      <w:r>
        <w:separator/>
      </w:r>
    </w:p>
  </w:endnote>
  <w:endnote w:type="continuationSeparator" w:id="0">
    <w:p w14:paraId="1D9AD280" w14:textId="77777777" w:rsidR="00174AE9" w:rsidRDefault="00174AE9" w:rsidP="00DC7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8805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ABDDD" w14:textId="3165178A" w:rsidR="00DC7EE4" w:rsidRDefault="00DC7E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E12D90" w14:textId="77777777" w:rsidR="00DC7EE4" w:rsidRDefault="00DC7E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0668A" w14:textId="77777777" w:rsidR="00174AE9" w:rsidRDefault="00174AE9" w:rsidP="00DC7EE4">
      <w:pPr>
        <w:spacing w:after="0" w:line="240" w:lineRule="auto"/>
      </w:pPr>
      <w:r>
        <w:separator/>
      </w:r>
    </w:p>
  </w:footnote>
  <w:footnote w:type="continuationSeparator" w:id="0">
    <w:p w14:paraId="66B13FE9" w14:textId="77777777" w:rsidR="00174AE9" w:rsidRDefault="00174AE9" w:rsidP="00DC7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C19"/>
    <w:multiLevelType w:val="hybridMultilevel"/>
    <w:tmpl w:val="17A683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14FF4"/>
    <w:multiLevelType w:val="hybridMultilevel"/>
    <w:tmpl w:val="405EE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461495">
    <w:abstractNumId w:val="1"/>
  </w:num>
  <w:num w:numId="2" w16cid:durableId="1799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99"/>
    <w:rsid w:val="00027E6B"/>
    <w:rsid w:val="00046AFD"/>
    <w:rsid w:val="000563B5"/>
    <w:rsid w:val="000A7C70"/>
    <w:rsid w:val="000D5210"/>
    <w:rsid w:val="001676A0"/>
    <w:rsid w:val="00174AE9"/>
    <w:rsid w:val="00230255"/>
    <w:rsid w:val="00277730"/>
    <w:rsid w:val="003F2D69"/>
    <w:rsid w:val="004550A5"/>
    <w:rsid w:val="00585636"/>
    <w:rsid w:val="00600F9F"/>
    <w:rsid w:val="00664099"/>
    <w:rsid w:val="0081069A"/>
    <w:rsid w:val="00A03DA3"/>
    <w:rsid w:val="00A34856"/>
    <w:rsid w:val="00A92B5E"/>
    <w:rsid w:val="00C30E45"/>
    <w:rsid w:val="00D83E54"/>
    <w:rsid w:val="00DC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9098"/>
  <w15:chartTrackingRefBased/>
  <w15:docId w15:val="{626DCBF9-1F6D-4B99-A60B-1049D292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0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485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C7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EE4"/>
  </w:style>
  <w:style w:type="paragraph" w:styleId="Footer">
    <w:name w:val="footer"/>
    <w:basedOn w:val="Normal"/>
    <w:link w:val="FooterChar"/>
    <w:uiPriority w:val="99"/>
    <w:unhideWhenUsed/>
    <w:rsid w:val="00DC7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5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6</cp:revision>
  <dcterms:created xsi:type="dcterms:W3CDTF">2025-11-08T17:13:00Z</dcterms:created>
  <dcterms:modified xsi:type="dcterms:W3CDTF">2025-11-20T14:00:00Z</dcterms:modified>
</cp:coreProperties>
</file>