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overinfinity</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Domain 1 - The Aiversecity Future-Ready Workforce Domain</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4.4 (primary), 4.3, 8.5, 8.2</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AURA-Workforce</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Ahmad Adam Hakimi bin Naeman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0damkim254@gmail.com / +60 18-344 5135</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International Islamic University Malaysia (IIUM)</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3</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r/>
            <w:r>
              <w:t>Malaysia's workforce is being reshaped by AI faster than its training system can respond. 56% of Malaysian professionals already use AI tools at work, yet only 26% have received formal training (Hays Asia Salary Guide 2025). The Ministry of Science, Technology and Innovation estimates that more than 600,000 workers will need reskilling within three to five years.</w:t>
            </w:r>
          </w:p>
          <w:p>
            <w:r>
              <w:t>The people affected are specific: a procurement assistant whose routine processing is being automated, a fresh graduate choosing a first role, an HR manager planning next year's training budget, a TVET career officer advising students from a printed list of jobs.</w:t>
            </w:r>
          </w:p>
          <w:p>
            <w:r>
              <w:t>What they lack is not information but trustworthy direction. Career advice today is generic, static and rarely sourced. A worker cannot see which roles are rising or declining, does not know which existing skills transfer, cannot judge how long a pathway takes against the hours they actually have, and has no way to check where a claim came from. Counsellors work from frameworks that are out of date by the time they are published.</w:t>
            </w:r>
          </w:p>
          <w:p>
            <w:r>
              <w:t>The cost is paid twice: individuals buy courses that do not lead to work, and employers retrain people for roles that are disappearing. Left unaddressed, the AI transition widens the gap between those who can afford continuous reskilling and those who cannot.</w:t>
            </w:r>
          </w:p>
          <w:p>
            <w:r>
              <w:t>This is a skills-transition problem before it is a technology problem, which is why it maps directly to SDG 4.4, 4.3, 8.5 and 8.2.</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r/>
            <w:r>
              <w:t>AURA-Workforce is a privacy-first career-transition planner. A worker enters their current role, skills, experience, available weekly hours and target sectors. The system returns ranked future-ready roles with an explainable match score, a skill-gap breakdown, a sequenced reskilling pathway with hours and cost notes, and an explicit mapping of every role and module to an SDG target.</w:t>
            </w:r>
          </w:p>
          <w:p>
            <w:r>
              <w:t>AI is applied at three points, each chosen because a model or a live feed beats a static rule:</w:t>
            </w:r>
          </w:p>
          <w:p>
            <w:r>
              <w:t>1. Skill normalisation. Form and free-text input are mapped onto a canonical skill vocabulary, so 'chasing POs in Excel' is recognised as procurement plus spreadsheet analysis instead of being missed as unknown text.</w:t>
            </w:r>
          </w:p>
          <w:p>
            <w:r>
              <w:t>2. Live trend layer. Public job postings are fetched from an open API, counted against each role's required skills, and converted into a dated demand index. Every figure carries its source, the window it covers and the sample size, and the interface states when the data was last refreshed.</w:t>
            </w:r>
          </w:p>
          <w:p>
            <w:r>
              <w:t>3. Scenario modelling. Two disruption scenarios (moderate: four-year runway; aggressive: eighteen-month runway) change planning urgency instead of pretending to predict the future.</w:t>
            </w:r>
          </w:p>
          <w:p>
            <w:r>
              <w:t>Deliberately, the ranking itself is deterministic and inspectable: weights, matched skills and gaps are visible, so a counsellor can challenge any recommendation. The model never invents a role, a course, a provider or a statistic; every course link resolves to a real provider page.</w:t>
            </w:r>
          </w:p>
          <w:p>
            <w:r>
              <w:t>Technical skills applied: language-model API calls for text understanding, React and Vite deployed on Replit, and a Postgres/Drizzle data layer for saved plans in Phase 2.</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r/>
            <w:r>
              <w:t>Frontend: React 19, Vite 7, Tailwind CSS 4, TanStack Query, Wouter routing, TypeScript 5.9.</w:t>
            </w:r>
          </w:p>
          <w:p>
            <w:r>
              <w:t>Backend: Node.js 24, Express 5, Zod validation for every response.</w:t>
            </w:r>
          </w:p>
          <w:p>
            <w:r>
              <w:t>Contract: OpenAPI 3.1 specification with Orval code generation for typed client hooks and Zod schemas.</w:t>
            </w:r>
          </w:p>
          <w:p>
            <w:r>
              <w:t>Data: curated public snapshot (U.S. BLS Occupational Outlook Handbook, WEF Future of Jobs 2025) plus a live public job-posting feed (Arbeitnow Job Board API, no key required). Postgres + Drizzle reserved for saved plans in Phase 2.</w:t>
            </w:r>
          </w:p>
          <w:p>
            <w:r>
              <w:t>Hosting: Replit (build and deployment), single public URL, secrets held in Replit Secrets.</w:t>
            </w:r>
          </w:p>
          <w:p>
            <w:r>
              <w:t>System diagram: browser (React SPA) -&gt; /api (Express) -&gt; [curated catalogue | live trend layer] -&gt; deterministic scoring engine -&gt; ranked roles, gaps and pathway. The trend layer is the only component that changes without a redeploy.</w:t>
            </w:r>
          </w:p>
          <w:p>
            <w:r>
              <w:t>Sponsor resources: Replit Core (one month per member) is used for hosting and deployment of the prototype. The RunPod credit (USD 20 per team) is reserved for Phase 2, where the same model endpoint will be self-hosted on GPU. The live trend feed is a free public API. All of the above is declared in the Technical &amp; Tools Declaration.</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r/>
            <w:r>
              <w:t>We started from people, not technology: the four personas in the domain brief (displaced worker, career switcher, HR/L&amp;D manager, TVET counsellor) and one moment of need, the week a worker learns their role is changing. Conversations with peers and working adults showed the same pattern: people do not want a prediction, they want to know what to do next and whether to trust it.</w:t>
            </w:r>
          </w:p>
          <w:p>
            <w:r>
              <w:t>That produced three constraints that shaped every screen: show the source, show the uncertainty, and let the user change the assumption. The moderate/aggressive scenario control exists because a single forecast would be dishonest.</w:t>
            </w:r>
          </w:p>
          <w:p>
            <w:r>
              <w:t>We prototyped in the browser daily and deployed to Replit from the first day, so feedback was given on the real artifact rather than a mockup. All testing used synthetic sample profiles, in line with the rules on personal data. Weaknesses found in testing (opaque scores, unexplained gaps, small text in dense panels) were fixed in the same week.</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r>
              <w:t>4.4.1 (youth and adults with relevant skills for employment), 4.3.1 (access to affordable lifelong learning), 8.5.2 (unemployment rate), 8.2.1 (productivity growth). Primary target: 4.4.</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r>
              <w:t>56% of Malaysian professionals use AI at work but only 26% received formal training (Hays Asia Salary Guide 2025); MOSTI projects more than 600,000 workers needing reskilling within 3-5 years. In today's career-advice market, recommendations are unsourced and static: our own baseline reflects this, with 6 curated market signals but only 1 updatable trend source, and no dated evidence attached to individual role or course recommendations.</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r>
              <w:t>1) Percentage of role, skill and course recommendations carrying a verifiable source and date. 2) Median time from profile start to a ranked pathway. 3) Number of independent, updatable trend sources feeding role ranking.</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r>
              <w:t>100% of recommendations sourced and dated (up from approximately 60% at prototype stage); median time-to-first-pathway under 5 minutes (currently about 20 minutes when done manually with a counsellor); at least 2 independent trend sources, including one Malaysian source, so the ranking visibly responds to regional demand.</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t>☑ Yes   ☐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pPr/>
      <w:r>
        <w:t>Yes. Created by the team leader before the official hacking period: the React/Vite interface shell and design system (11 September 2026 onward), the original curated catalogue of 3 roles, 12 learning modules and 6 sourced market signals, and the OpenAPI contract scaffolding. All of it is declared here under the pre-existing work rule. Built entirely during the Phase 1 hacking period (19-25 October 2026): the live trend-signal layer, the AI profile extraction and the AI planner, the explainable score breakdown, the scenario model, two additional roles with their learning steps, and all Phase 1 documentation.</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t>☑ Yes   ☐ 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tc>
          <w:tcPr>
            <w:tcW w:type="dxa" w:w="2940"/>
          </w:tcPr>
          <w:p>
            <w:r>
              <w:t>React 19 / React DOM</w:t>
            </w:r>
          </w:p>
        </w:tc>
        <w:tc>
          <w:tcPr>
            <w:tcW w:type="dxa" w:w="3300"/>
          </w:tcPr>
          <w:p>
            <w:r>
              <w:t>code</w:t>
            </w:r>
          </w:p>
        </w:tc>
        <w:tc>
          <w:tcPr>
            <w:tcW w:type="dxa" w:w="3120"/>
          </w:tcPr>
          <w:p>
            <w:r>
              <w:t>MIT</w:t>
            </w:r>
          </w:p>
        </w:tc>
      </w:tr>
      <w:tr>
        <w:tc>
          <w:tcPr>
            <w:tcW w:type="dxa" w:w="2940"/>
          </w:tcPr>
          <w:p>
            <w:r>
              <w:t>Vite 7</w:t>
            </w:r>
          </w:p>
        </w:tc>
        <w:tc>
          <w:tcPr>
            <w:tcW w:type="dxa" w:w="3300"/>
          </w:tcPr>
          <w:p>
            <w:r>
              <w:t>code</w:t>
            </w:r>
          </w:p>
        </w:tc>
        <w:tc>
          <w:tcPr>
            <w:tcW w:type="dxa" w:w="3120"/>
          </w:tcPr>
          <w:p>
            <w:r>
              <w:t>MIT</w:t>
            </w:r>
          </w:p>
        </w:tc>
      </w:tr>
      <w:tr>
        <w:tc>
          <w:tcPr>
            <w:tcW w:type="dxa" w:w="2940"/>
          </w:tcPr>
          <w:p>
            <w:r>
              <w:t>Tailwind CSS 4</w:t>
            </w:r>
          </w:p>
        </w:tc>
        <w:tc>
          <w:tcPr>
            <w:tcW w:type="dxa" w:w="3300"/>
          </w:tcPr>
          <w:p>
            <w:r>
              <w:t>code</w:t>
            </w:r>
          </w:p>
        </w:tc>
        <w:tc>
          <w:tcPr>
            <w:tcW w:type="dxa" w:w="3120"/>
          </w:tcPr>
          <w:p>
            <w:r>
              <w:t>MIT</w:t>
            </w:r>
          </w:p>
        </w:tc>
      </w:tr>
      <w:tr>
        <w:tc>
          <w:tcPr>
            <w:tcW w:type="dxa" w:w="2940"/>
          </w:tcPr>
          <w:p>
            <w:r>
              <w:t>Radix UI primitives</w:t>
            </w:r>
          </w:p>
        </w:tc>
        <w:tc>
          <w:tcPr>
            <w:tcW w:type="dxa" w:w="3300"/>
          </w:tcPr>
          <w:p>
            <w:r>
              <w:t>code</w:t>
            </w:r>
          </w:p>
        </w:tc>
        <w:tc>
          <w:tcPr>
            <w:tcW w:type="dxa" w:w="3120"/>
          </w:tcPr>
          <w:p>
            <w:r>
              <w:t>MIT</w:t>
            </w:r>
          </w:p>
        </w:tc>
      </w:tr>
      <w:tr>
        <w:tc>
          <w:tcPr>
            <w:tcW w:type="dxa" w:w="2940"/>
          </w:tcPr>
          <w:p>
            <w:r>
              <w:t>TanStack Query 5</w:t>
            </w:r>
          </w:p>
        </w:tc>
        <w:tc>
          <w:tcPr>
            <w:tcW w:type="dxa" w:w="3300"/>
          </w:tcPr>
          <w:p>
            <w:r>
              <w:t>code</w:t>
            </w:r>
          </w:p>
        </w:tc>
        <w:tc>
          <w:tcPr>
            <w:tcW w:type="dxa" w:w="3120"/>
          </w:tcPr>
          <w:p>
            <w:r>
              <w:t>MIT</w:t>
            </w:r>
          </w:p>
        </w:tc>
      </w:tr>
      <w:tr>
        <w:tc>
          <w:tcPr>
            <w:tcW w:type="dxa" w:w="2940"/>
          </w:tcPr>
          <w:p>
            <w:r>
              <w:t>Express 5</w:t>
            </w:r>
          </w:p>
        </w:tc>
        <w:tc>
          <w:tcPr>
            <w:tcW w:type="dxa" w:w="3300"/>
          </w:tcPr>
          <w:p>
            <w:r>
              <w:t>code</w:t>
            </w:r>
          </w:p>
        </w:tc>
        <w:tc>
          <w:tcPr>
            <w:tcW w:type="dxa" w:w="3120"/>
          </w:tcPr>
          <w:p>
            <w:r>
              <w:t>MIT</w:t>
            </w:r>
          </w:p>
        </w:tc>
      </w:tr>
      <w:tr>
        <w:tc>
          <w:tcPr>
            <w:tcW w:type="dxa" w:w="2940"/>
          </w:tcPr>
          <w:p>
            <w:r>
              <w:t>Zod 3</w:t>
            </w:r>
          </w:p>
        </w:tc>
        <w:tc>
          <w:tcPr>
            <w:tcW w:type="dxa" w:w="3300"/>
          </w:tcPr>
          <w:p>
            <w:r>
              <w:t>code</w:t>
            </w:r>
          </w:p>
        </w:tc>
        <w:tc>
          <w:tcPr>
            <w:tcW w:type="dxa" w:w="3120"/>
          </w:tcPr>
          <w:p>
            <w:r>
              <w:t>MIT</w:t>
            </w:r>
          </w:p>
        </w:tc>
      </w:tr>
      <w:tr>
        <w:tc>
          <w:tcPr>
            <w:tcW w:type="dxa" w:w="2940"/>
          </w:tcPr>
          <w:p>
            <w:r>
              <w:t>Orval (codegen)</w:t>
            </w:r>
          </w:p>
        </w:tc>
        <w:tc>
          <w:tcPr>
            <w:tcW w:type="dxa" w:w="3300"/>
          </w:tcPr>
          <w:p>
            <w:r>
              <w:t>code</w:t>
            </w:r>
          </w:p>
        </w:tc>
        <w:tc>
          <w:tcPr>
            <w:tcW w:type="dxa" w:w="3120"/>
          </w:tcPr>
          <w:p>
            <w:r>
              <w:t>MIT</w:t>
            </w:r>
          </w:p>
        </w:tc>
      </w:tr>
      <w:tr>
        <w:tc>
          <w:tcPr>
            <w:tcW w:type="dxa" w:w="2940"/>
          </w:tcPr>
          <w:p>
            <w:r>
              <w:t>Lucide icons</w:t>
            </w:r>
          </w:p>
        </w:tc>
        <w:tc>
          <w:tcPr>
            <w:tcW w:type="dxa" w:w="3300"/>
          </w:tcPr>
          <w:p>
            <w:r>
              <w:t>code</w:t>
            </w:r>
          </w:p>
        </w:tc>
        <w:tc>
          <w:tcPr>
            <w:tcW w:type="dxa" w:w="3120"/>
          </w:tcPr>
          <w:p>
            <w:r>
              <w:t>ISC</w:t>
            </w:r>
          </w:p>
        </w:tc>
      </w:tr>
      <w:tr>
        <w:tc>
          <w:tcPr>
            <w:tcW w:type="dxa" w:w="2940"/>
          </w:tcPr>
          <w:p>
            <w:r>
              <w:t>Arbeitnow Job Board API</w:t>
            </w:r>
          </w:p>
        </w:tc>
        <w:tc>
          <w:tcPr>
            <w:tcW w:type="dxa" w:w="3300"/>
          </w:tcPr>
          <w:p>
            <w:r>
              <w:t>dataset</w:t>
            </w:r>
          </w:p>
        </w:tc>
        <w:tc>
          <w:tcPr>
            <w:tcW w:type="dxa" w:w="3120"/>
          </w:tcPr>
          <w:p>
            <w:r>
              <w:t>Public API, free, no key; source cited in-app</w:t>
            </w:r>
          </w:p>
        </w:tc>
      </w:tr>
      <w:tr>
        <w:tc>
          <w:tcPr>
            <w:tcW w:type="dxa" w:w="2940"/>
          </w:tcPr>
          <w:p>
            <w:r>
              <w:t>U.S. BLS Occupational Outlook Handbook</w:t>
            </w:r>
          </w:p>
        </w:tc>
        <w:tc>
          <w:tcPr>
            <w:tcW w:type="dxa" w:w="3300"/>
          </w:tcPr>
          <w:p>
            <w:r>
              <w:t>dataset</w:t>
            </w:r>
          </w:p>
        </w:tc>
        <w:tc>
          <w:tcPr>
            <w:tcW w:type="dxa" w:w="3120"/>
          </w:tcPr>
          <w:p>
            <w:r>
              <w:t>Public domain (U.S. Government work)</w:t>
            </w:r>
          </w:p>
        </w:tc>
      </w:tr>
      <w:tr>
        <w:tc>
          <w:tcPr>
            <w:tcW w:type="dxa" w:w="2940"/>
          </w:tcPr>
          <w:p>
            <w:r>
              <w:t>WEF Future of Jobs Report 2025</w:t>
            </w:r>
          </w:p>
        </w:tc>
        <w:tc>
          <w:tcPr>
            <w:tcW w:type="dxa" w:w="3300"/>
          </w:tcPr>
          <w:p>
            <w:r>
              <w:t>dataset</w:t>
            </w:r>
          </w:p>
        </w:tc>
        <w:tc>
          <w:tcPr>
            <w:tcW w:type="dxa" w:w="3120"/>
          </w:tcPr>
          <w:p>
            <w:r>
              <w:t>Used for quoted figures with attribution</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t>☐ Yes   ☑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t>Ahmad Adam Hakimi bin Naeman (Team Leader, overinfinity)</w:t>
      </w:r>
    </w:p>
    <w:p w14:paraId="3E87836C" w14:textId="77777777" w:rsidR="00CB46A4" w:rsidRDefault="00000000">
      <w:pPr>
        <w:spacing w:after="140"/>
        <w:jc w:val="both"/>
        <w:rPr>
          <w:rFonts w:ascii="Times New Roman" w:eastAsia="Times New Roman" w:hAnsi="Times New Roman" w:cs="Times New Roman"/>
          <w:sz w:val="24"/>
          <w:szCs w:val="24"/>
        </w:rPr>
      </w:pPr>
      <w:r>
        <w:t>23 October 2026</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4</cp:revision>
  <dcterms:created xsi:type="dcterms:W3CDTF">2026-10-21T13:45:00Z</dcterms:created>
  <dcterms:modified xsi:type="dcterms:W3CDTF">2026-10-21T14:49:00Z</dcterms:modified>
</cp:coreProperties>
</file>