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A): What is the working directory? Please write down the full path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/home/anguyen117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 B): What is the difference in the output compared to the output from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(3)? Describe what the difference 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printed output from step 3 does not exist as there was no folder to display. This time, since it includes the current folder called csc3320, it displays the output “csc3320”.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Display current working directory.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 C): Which command should be typed?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a new folder called "lab2" in csc3320.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Question D): Which command should be typed?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mkdir lab2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Go to the newly created "lab2" folder.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 E): Which command should be typed?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cd lab2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 F): There is a special character "&gt;" between "cat" and "myLab1.txt".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does this character do? And why we need to press "Ctrl-D" at the end 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input?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greater than symbol “&gt;” indicates a standard output redirection. It redirects whatever is written after running command and is copied to the .txt which is created and overrides any existing .txt file with same name.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Ctrl-D give program end of file. It tells the file where it stops in input and completes the file’s content. It is like close parentheses in a math expression. It exists the directory input and goes back to terminal. It then allows a new command input to be typed.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Question G): Attach a screenshot of the output.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3990975" cy="180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Question H): Then issue the command pwd again. Attach a screenshot of the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1409700" cy="161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Adam Nguyen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 2 in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