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26"/>
        </w:rPr>
        <w:t xml:space="preserve">[3] a right to strike is key to support property rights. </w:t>
      </w:r>
    </w:p>
    <w:p>
      <w:r>
        <w:rPr>
          <w:sz w:val="16"/>
        </w:rPr>
        <w:t>Chicktay 6 [Mohamed Alli Chicktay, academic at the University of the Witwatersrand, 2006, “PLACING THE RIGHT TO STRIKE WITHIN A HUMAN RIGHTS FRAMEWORK,” No Publication,  CP</w:t>
      </w:r>
    </w:p>
    <w:p>
      <w:r>
        <w:rPr>
          <w:rStyle w:val="DefaultParagraphFont"/>
        </w:rPr>
        <w:t xml:space="preserve">In addition, in terms of the concept of “self-ownership” </w:t>
      </w:r>
      <w:r>
        <w:rPr>
          <w:rStyle w:val="StyleUnderline"/>
        </w:rPr>
        <w:t xml:space="preserve">we are all </w:t>
      </w:r>
      <w:r>
        <w:rPr>
          <w:rStyle w:val="Emphasis"/>
        </w:rPr>
        <w:t>owners</w:t>
      </w:r>
      <w:r>
        <w:rPr>
          <w:rStyle w:val="StyleUnderline"/>
        </w:rPr>
        <w:t xml:space="preserve"> of our own bodies and</w:t>
      </w:r>
      <w:r>
        <w:rPr>
          <w:rStyle w:val="DefaultParagraphFont"/>
        </w:rPr>
        <w:t xml:space="preserve"> therefore </w:t>
      </w:r>
      <w:r>
        <w:rPr>
          <w:rStyle w:val="StyleUnderline"/>
        </w:rPr>
        <w:t xml:space="preserve">should not be </w:t>
      </w:r>
      <w:r>
        <w:rPr>
          <w:rStyle w:val="Emphasis"/>
        </w:rPr>
        <w:t>forced</w:t>
      </w:r>
      <w:r>
        <w:rPr>
          <w:rStyle w:val="StyleUnderline"/>
        </w:rPr>
        <w:t xml:space="preserve"> to do anything with our bodies against our will</w:t>
      </w:r>
      <w:r>
        <w:rPr>
          <w:rStyle w:val="DefaultParagraphFont"/>
        </w:rPr>
        <w:t xml:space="preserve">. </w:t>
      </w:r>
      <w:r>
        <w:rPr>
          <w:rStyle w:val="StyleUnderline"/>
        </w:rPr>
        <w:t xml:space="preserve">We can do whatever we wish with our bodies, </w:t>
      </w:r>
      <w:r>
        <w:rPr>
          <w:rStyle w:val="StyleUnderline"/>
        </w:rPr>
        <w:t>provided that</w:t>
      </w:r>
      <w:r>
        <w:rPr>
          <w:rStyle w:val="StyleUnderline"/>
        </w:rPr>
        <w:t xml:space="preserve"> we are not aggressive to others who also have “self-ownership” over their bodies</w:t>
      </w:r>
      <w:r>
        <w:rPr>
          <w:rStyle w:val="DefaultParagraphFont"/>
        </w:rPr>
        <w:t xml:space="preserve"> (Cohen Self-ownership, Freedom and Equality (1995) 68). </w:t>
      </w:r>
      <w:r>
        <w:rPr>
          <w:rStyle w:val="StyleUnderline"/>
        </w:rPr>
        <w:t xml:space="preserve">Since we own our bodies, </w:t>
      </w:r>
      <w:r>
        <w:rPr>
          <w:rStyle w:val="StyleUnderline"/>
          <w:highlight w:val="green"/>
        </w:rPr>
        <w:t>we</w:t>
      </w:r>
      <w:r>
        <w:rPr>
          <w:rStyle w:val="DefaultParagraphFont"/>
        </w:rPr>
        <w:t xml:space="preserve"> also </w:t>
      </w:r>
      <w:r>
        <w:rPr>
          <w:rStyle w:val="StyleUnderline"/>
          <w:highlight w:val="green"/>
        </w:rPr>
        <w:t>own the labour</w:t>
      </w:r>
      <w:r>
        <w:rPr>
          <w:rStyle w:val="StyleUnderline"/>
        </w:rPr>
        <w:t xml:space="preserve"> that </w:t>
      </w:r>
      <w:r>
        <w:rPr>
          <w:rStyle w:val="StyleUnderline"/>
          <w:highlight w:val="green"/>
        </w:rPr>
        <w:t>we</w:t>
      </w:r>
      <w:r>
        <w:rPr>
          <w:rStyle w:val="StyleUnderline"/>
        </w:rPr>
        <w:t xml:space="preserve"> can </w:t>
      </w:r>
      <w:r>
        <w:rPr>
          <w:rStyle w:val="StyleUnderline"/>
          <w:highlight w:val="green"/>
        </w:rPr>
        <w:t xml:space="preserve">perform with our bodies </w:t>
      </w:r>
      <w:r>
        <w:rPr>
          <w:rStyle w:val="StyleUnderline"/>
        </w:rPr>
        <w:t xml:space="preserve">just as we do any other </w:t>
      </w:r>
      <w:r>
        <w:rPr>
          <w:rStyle w:val="Emphasis"/>
        </w:rPr>
        <w:t>property</w:t>
      </w:r>
      <w:r>
        <w:rPr>
          <w:rStyle w:val="StyleUnderline"/>
        </w:rPr>
        <w:t>. Being forced to work without the right to strike could</w:t>
      </w:r>
      <w:r>
        <w:rPr>
          <w:rStyle w:val="DefaultParagraphFont"/>
        </w:rPr>
        <w:t xml:space="preserve"> therefore </w:t>
      </w:r>
      <w:r>
        <w:rPr>
          <w:rStyle w:val="StyleUnderline"/>
        </w:rPr>
        <w:t xml:space="preserve">be seen as an </w:t>
      </w:r>
      <w:r>
        <w:rPr>
          <w:rStyle w:val="Emphasis"/>
        </w:rPr>
        <w:t>infringement</w:t>
      </w:r>
      <w:r>
        <w:rPr>
          <w:rStyle w:val="StyleUnderline"/>
        </w:rPr>
        <w:t xml:space="preserve"> of one’s property rights</w:t>
      </w:r>
      <w:r>
        <w:rPr>
          <w:rStyle w:val="DefaultParagraphFont"/>
        </w:rPr>
        <w:t xml:space="preserve">. </w:t>
      </w:r>
      <w:r>
        <w:rPr>
          <w:rStyle w:val="StyleUnderline"/>
        </w:rPr>
        <w:t>One may also argue</w:t>
      </w:r>
      <w:r>
        <w:rPr>
          <w:rStyle w:val="DefaultParagraphFont"/>
        </w:rPr>
        <w:t xml:space="preserve"> that </w:t>
      </w:r>
      <w:r>
        <w:rPr>
          <w:rStyle w:val="StyleUnderline"/>
        </w:rPr>
        <w:t xml:space="preserve">our body belongs to us and hence is our property. </w:t>
      </w:r>
      <w:r>
        <w:rPr>
          <w:rStyle w:val="StyleUnderline"/>
          <w:highlight w:val="green"/>
        </w:rPr>
        <w:t>By striking we are withholding the use of our body</w:t>
      </w:r>
      <w:r>
        <w:rPr>
          <w:rStyle w:val="StyleUnderline"/>
        </w:rPr>
        <w:t xml:space="preserve"> and </w:t>
      </w:r>
      <w:r>
        <w:rPr>
          <w:rStyle w:val="Emphasis"/>
          <w:highlight w:val="green"/>
        </w:rPr>
        <w:t>any prevention</w:t>
      </w:r>
      <w:r>
        <w:rPr>
          <w:rStyle w:val="StyleUnderline"/>
          <w:highlight w:val="green"/>
        </w:rPr>
        <w:t xml:space="preserve"> </w:t>
      </w:r>
      <w:r>
        <w:rPr>
          <w:rStyle w:val="StyleUnderline"/>
        </w:rPr>
        <w:t xml:space="preserve">of the right </w:t>
      </w:r>
      <w:r>
        <w:rPr>
          <w:rStyle w:val="StyleUnderline"/>
          <w:highlight w:val="green"/>
        </w:rPr>
        <w:t>to strike would</w:t>
      </w:r>
      <w:r>
        <w:rPr>
          <w:rStyle w:val="DefaultParagraphFont"/>
        </w:rPr>
        <w:t xml:space="preserve"> thus </w:t>
      </w:r>
      <w:r>
        <w:rPr>
          <w:rStyle w:val="StyleUnderline"/>
          <w:highlight w:val="green"/>
        </w:rPr>
        <w:t>be a violation of our property</w:t>
      </w:r>
      <w:r>
        <w:rPr>
          <w:rStyle w:val="StyleUnderline"/>
        </w:rPr>
        <w:t xml:space="preserve"> </w:t>
      </w:r>
      <w:r>
        <w:rPr>
          <w:rStyle w:val="StyleUnderline"/>
          <w:highlight w:val="green"/>
        </w:rPr>
        <w:t>rights</w:t>
      </w:r>
      <w:r>
        <w:rPr>
          <w:rStyle w:val="DefaultParagraphFont"/>
        </w:rPr>
        <w:t xml:space="preserve">. Israel has argued that the </w:t>
      </w:r>
      <w:r>
        <w:rPr>
          <w:rStyle w:val="StyleUnderline"/>
          <w:highlight w:val="green"/>
        </w:rPr>
        <w:t>denial</w:t>
      </w:r>
      <w:r>
        <w:rPr>
          <w:rStyle w:val="StyleUnderline"/>
        </w:rPr>
        <w:t xml:space="preserve"> of the right to strike </w:t>
      </w:r>
      <w:r>
        <w:rPr>
          <w:rStyle w:val="Emphasis"/>
          <w:highlight w:val="green"/>
        </w:rPr>
        <w:t>violates</w:t>
      </w:r>
      <w:r>
        <w:rPr>
          <w:rStyle w:val="StyleUnderline"/>
          <w:highlight w:val="green"/>
        </w:rPr>
        <w:t xml:space="preserve"> one’s freedom from forced labour</w:t>
      </w:r>
      <w:r>
        <w:rPr>
          <w:rStyle w:val="DefaultParagraphFont"/>
        </w:rPr>
        <w:t xml:space="preserve">. He argues that by </w:t>
      </w:r>
      <w:r>
        <w:rPr>
          <w:rStyle w:val="StyleUnderline"/>
        </w:rPr>
        <w:t>prohibiting strikes or imposing criminal and civil sanctions upon strikers, one would be forcing employees to work</w:t>
      </w:r>
      <w:r>
        <w:rPr>
          <w:rStyle w:val="DefaultParagraphFont"/>
        </w:rPr>
        <w:t xml:space="preserve">, which would be a violation of their right not to be subjected to forced labour (Israel International Labour Standards (1989) 25). The right to strike is also a violation of one’s right to dignity. </w:t>
      </w:r>
      <w:r>
        <w:rPr>
          <w:rStyle w:val="StyleUnderline"/>
        </w:rPr>
        <w:t>Workers find a sense of self-worth in their work, which is hindered if they are exploited by employers and have no say in this environment</w:t>
      </w:r>
      <w:r>
        <w:rPr>
          <w:rStyle w:val="DefaultParagraphFont"/>
        </w:rPr>
        <w:t xml:space="preserve">. One of the most effective ways in which workers can have a meaningful say in the workplace is if they have the power to halt production (Harmer “The Right to Strike Charter Implications and Interpretations” 1992 47 University of Toronto Faculty of Law Review 438). </w:t>
      </w:r>
      <w:r>
        <w:rPr>
          <w:rStyle w:val="DefaultParagraphFont"/>
        </w:rPr>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