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12"/>
        <w:tblBorders>
          <w:top w:val="single" w:color="auto" w:sz="4"/>
          <w:left w:val="single" w:color="auto" w:sz="4"/>
          <w:bottom w:val="single" w:color="auto" w:sz="4"/>
          <w:right w:val="single" w:color="auto" w:sz="4"/>
          <w:insideH w:val="single" w:color="auto" w:sz="4"/>
          <w:insideV w:val="single" w:color="auto" w:sz="4"/>
        </w:tblBorders>
      </w:tblPr>
      <w:tblGrid>
        <w:gridCol w:w="9212"/>
      </w:tblGrid>
      <w:tr>
        <w:tc>
          <w:tcPr>
            <w:tcW w:type="dxa" w:w="9212"/>
            <w:tcBorders>
              <w:top w:val="none"/>
              <w:left w:val="none"/>
              <w:bottom w:val="none"/>
              <w:right w:val="none"/>
            </w:tcBorders>
            <w:shd w:fill="0D1B2A" w:val="clear"/>
            <w:tcMar>
              <w:top w:type="dxa" w:w="680"/>
              <w:left w:type="dxa" w:w="240"/>
              <w:bottom w:type="dxa" w:w="240"/>
              <w:right w:type="dxa" w:w="240"/>
            </w:tcMar>
          </w:tcPr>
          <w:p>
            <w:pPr>
              <w:spacing w:after="70" w:before="0" w:line="276"/>
              <w:jc w:val="left"/>
            </w:pPr>
            <w:r>
              <w:rPr>
                <w:rFonts w:ascii="Arial" w:cs="Arial" w:eastAsia="Arial" w:hAnsi="Arial"/>
                <w:b/>
                <w:bCs/>
                <w:caps/>
                <w:color w:val="C0392B"/>
                <w:sz w:val="15"/>
                <w:szCs w:val="15"/>
              </w:rPr>
              <w:t xml:space="preserve">QC INSPECTION REPORT</w:t>
            </w:r>
          </w:p>
          <w:p>
            <w:pPr>
              <w:spacing w:after="36" w:before="0" w:line="276"/>
              <w:jc w:val="left"/>
            </w:pPr>
            <w:r>
              <w:rPr>
                <w:rFonts w:ascii="Arial" w:cs="Arial" w:eastAsia="Arial" w:hAnsi="Arial"/>
                <w:b/>
                <w:bCs/>
                <w:caps w:val="false"/>
                <w:color w:val="FFFFFF"/>
                <w:sz w:val="52"/>
                <w:szCs w:val="52"/>
              </w:rPr>
              <w:t xml:space="preserve">Brand X</w:t>
            </w:r>
          </w:p>
          <w:p>
            <w:pPr>
              <w:spacing w:after="80" w:before="0" w:line="276"/>
              <w:jc w:val="left"/>
            </w:pPr>
            <w:r>
              <w:rPr>
                <w:rFonts w:ascii="Arial" w:cs="Arial" w:eastAsia="Arial" w:hAnsi="Arial"/>
                <w:b w:val="false"/>
                <w:bCs w:val="false"/>
                <w:caps w:val="false"/>
                <w:color w:val="9BAAB8"/>
                <w:sz w:val="22"/>
                <w:szCs w:val="22"/>
              </w:rPr>
              <w:t xml:space="preserve">Amazon Listing Issues Report</w:t>
            </w:r>
          </w:p>
        </w:tc>
      </w:tr>
    </w:tbl>
    <w:tbl>
      <w:tblPr>
        <w:tblW w:type="dxa" w:w="9212"/>
        <w:tblBorders>
          <w:top w:val="single" w:color="auto" w:sz="4"/>
          <w:left w:val="single" w:color="auto" w:sz="4"/>
          <w:bottom w:val="single" w:color="auto" w:sz="4"/>
          <w:right w:val="single" w:color="auto" w:sz="4"/>
          <w:insideH w:val="single" w:color="auto" w:sz="4"/>
          <w:insideV w:val="single" w:color="auto" w:sz="4"/>
        </w:tblBorders>
      </w:tblPr>
      <w:tblGrid>
        <w:gridCol w:w="9212"/>
      </w:tblGrid>
      <w:tr>
        <w:tc>
          <w:tcPr>
            <w:tcW w:type="dxa" w:w="9212"/>
            <w:tcBorders>
              <w:top w:val="none"/>
              <w:left w:val="none"/>
              <w:bottom w:val="none"/>
              <w:right w:val="none"/>
            </w:tcBorders>
            <w:shd w:fill="C0392B" w:val="clear"/>
            <w:tcMar>
              <w:top w:type="dxa" w:w="12"/>
              <w:left w:type="dxa" w:w="0"/>
              <w:bottom w:type="dxa" w:w="12"/>
              <w:right w:type="dxa" w:w="0"/>
            </w:tcMar>
          </w:tcPr>
          <w:p>
            <w:pPr>
              <w:spacing w:after="80" w:before="0" w:line="276"/>
              <w:jc w:val="left"/>
            </w:pPr>
            <w:r>
              <w:rPr>
                <w:rFonts w:ascii="Arial" w:cs="Arial" w:eastAsia="Arial" w:hAnsi="Arial"/>
                <w:b w:val="false"/>
                <w:bCs w:val="false"/>
                <w:caps w:val="false"/>
                <w:color w:val="0F1111"/>
                <w:sz w:val="18"/>
                <w:szCs w:val="18"/>
              </w:rPr>
              <w:t xml:space="preserve"/>
            </w:r>
          </w:p>
        </w:tc>
      </w:tr>
    </w:tbl>
    <w:p>
      <w:pPr>
        <w:spacing w:after="200" w:before="0" w:line="276"/>
        <w:jc w:val="left"/>
      </w:pPr>
      <w:r>
        <w:rPr>
          <w:rFonts w:ascii="Arial" w:cs="Arial" w:eastAsia="Arial" w:hAnsi="Arial"/>
          <w:b w:val="false"/>
          <w:bCs w:val="false"/>
          <w:caps w:val="false"/>
          <w:color w:val="0F1111"/>
          <w:sz w:val="18"/>
          <w:szCs w:val="18"/>
        </w:rPr>
        <w:t xml:space="preserve"/>
      </w:r>
    </w:p>
    <w:tbl>
      <w:tblPr>
        <w:tblW w:type="dxa" w:w="9212"/>
        <w:tblBorders>
          <w:top w:val="single" w:color="auto" w:sz="4"/>
          <w:left w:val="single" w:color="auto" w:sz="4"/>
          <w:bottom w:val="single" w:color="auto" w:sz="4"/>
          <w:right w:val="single" w:color="auto" w:sz="4"/>
          <w:insideH w:val="single" w:color="auto" w:sz="4"/>
          <w:insideV w:val="single" w:color="auto" w:sz="4"/>
        </w:tblBorders>
      </w:tblPr>
      <w:tblGrid>
        <w:gridCol w:w="2600"/>
        <w:gridCol w:w="6612"/>
      </w:tblGrid>
      <w:tr>
        <w:tc>
          <w:tcPr>
            <w:tcW w:type="dxa" w:w="2600"/>
            <w:tcBorders>
              <w:top w:val="single" w:color="E8EBF0" w:sz="4"/>
              <w:left w:val="single" w:color="E8EBF0" w:sz="4"/>
              <w:bottom w:val="single" w:color="E8EBF0" w:sz="4"/>
              <w:right w:val="single" w:color="E8EBF0" w:sz="4"/>
            </w:tcBorders>
            <w:shd w:fill="F4F6F8"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Report Reference</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BX-LISTING-AUDIT-2026-04</w:t>
            </w:r>
          </w:p>
        </w:tc>
      </w:tr>
      <w:tr>
        <w:tc>
          <w:tcPr>
            <w:tcW w:type="dxa" w:w="2600"/>
            <w:tcBorders>
              <w:top w:val="single" w:color="E8EBF0" w:sz="4"/>
              <w:left w:val="single" w:color="E8EBF0" w:sz="4"/>
              <w:bottom w:val="single" w:color="E8EBF0" w:sz="4"/>
              <w:right w:val="single" w:color="E8EBF0" w:sz="4"/>
            </w:tcBorders>
            <w:shd w:fill="E8EBF0"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Prepared by</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Ideal Direct — Brand Management Team</w:t>
            </w:r>
          </w:p>
        </w:tc>
      </w:tr>
      <w:tr>
        <w:tc>
          <w:tcPr>
            <w:tcW w:type="dxa" w:w="2600"/>
            <w:tcBorders>
              <w:top w:val="single" w:color="E8EBF0" w:sz="4"/>
              <w:left w:val="single" w:color="E8EBF0" w:sz="4"/>
              <w:bottom w:val="single" w:color="E8EBF0" w:sz="4"/>
              <w:right w:val="single" w:color="E8EBF0" w:sz="4"/>
            </w:tcBorders>
            <w:shd w:fill="F4F6F8"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Date Issued</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8 April 2026</w:t>
            </w:r>
          </w:p>
        </w:tc>
      </w:tr>
      <w:tr>
        <w:tc>
          <w:tcPr>
            <w:tcW w:type="dxa" w:w="2600"/>
            <w:tcBorders>
              <w:top w:val="single" w:color="E8EBF0" w:sz="4"/>
              <w:left w:val="single" w:color="E8EBF0" w:sz="4"/>
              <w:bottom w:val="single" w:color="E8EBF0" w:sz="4"/>
              <w:right w:val="single" w:color="E8EBF0" w:sz="4"/>
            </w:tcBorders>
            <w:shd w:fill="E8EBF0"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Marketplaces</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Amazon UK</w:t>
            </w:r>
          </w:p>
        </w:tc>
      </w:tr>
      <w:tr>
        <w:tc>
          <w:tcPr>
            <w:tcW w:type="dxa" w:w="2600"/>
            <w:tcBorders>
              <w:top w:val="single" w:color="E8EBF0" w:sz="4"/>
              <w:left w:val="single" w:color="E8EBF0" w:sz="4"/>
              <w:bottom w:val="single" w:color="E8EBF0" w:sz="4"/>
              <w:right w:val="single" w:color="E8EBF0" w:sz="4"/>
            </w:tcBorders>
            <w:shd w:fill="F4F6F8"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SKUs Audited</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BX-009  ·  BX-011  ·  BX-012</w:t>
            </w:r>
          </w:p>
        </w:tc>
      </w:tr>
      <w:tr>
        <w:tc>
          <w:tcPr>
            <w:tcW w:type="dxa" w:w="2600"/>
            <w:tcBorders>
              <w:top w:val="single" w:color="E8EBF0" w:sz="4"/>
              <w:left w:val="single" w:color="E8EBF0" w:sz="4"/>
              <w:bottom w:val="single" w:color="E8EBF0" w:sz="4"/>
              <w:right w:val="single" w:color="E8EBF0" w:sz="4"/>
            </w:tcBorders>
            <w:shd w:fill="E8EBF0"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Priority Flag</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3 listings with HIGH priority issues requiring immediate action</w:t>
            </w:r>
          </w:p>
        </w:tc>
      </w:tr>
    </w:tbl>
    <w:p>
      <w:pPr>
        <w:spacing w:after="200" w:before="0" w:line="276"/>
        <w:jc w:val="left"/>
      </w:pPr>
      <w:r>
        <w:rPr>
          <w:rFonts w:ascii="Arial" w:cs="Arial" w:eastAsia="Arial" w:hAnsi="Arial"/>
          <w:b w:val="false"/>
          <w:bCs w:val="false"/>
          <w:caps w:val="false"/>
          <w:color w:val="0F1111"/>
          <w:sz w:val="18"/>
          <w:szCs w:val="18"/>
        </w:rPr>
        <w:t xml:space="preserve"/>
      </w:r>
    </w:p>
    <w:p>
      <w:pPr>
        <w:spacing w:after="160" w:before="0" w:line="276"/>
        <w:jc w:val="left"/>
      </w:pPr>
      <w:r>
        <w:rPr>
          <w:rFonts w:ascii="Arial" w:cs="Arial" w:eastAsia="Arial" w:hAnsi="Arial"/>
          <w:b w:val="false"/>
          <w:bCs w:val="false"/>
          <w:caps w:val="false"/>
          <w:color w:val="0F1111"/>
          <w:sz w:val="18"/>
          <w:szCs w:val="18"/>
        </w:rPr>
        <w:t xml:space="preserve"/>
      </w:r>
    </w:p>
    <w:p>
      <w:pPr>
        <w:spacing w:after="40" w:before="0" w:line="276"/>
        <w:jc w:val="left"/>
      </w:pPr>
      <w:r>
        <w:rPr>
          <w:rFonts w:ascii="Arial" w:cs="Arial" w:eastAsia="Arial" w:hAnsi="Arial"/>
          <w:b/>
          <w:bCs/>
          <w:caps/>
          <w:color w:val="C0392B"/>
          <w:sz w:val="14"/>
          <w:szCs w:val="14"/>
        </w:rPr>
        <w:t xml:space="preserve">SECTION 01</w:t>
      </w:r>
    </w:p>
    <w:p>
      <w:pPr>
        <w:spacing w:after="80" w:before="0" w:line="276"/>
        <w:jc w:val="left"/>
      </w:pPr>
      <w:r>
        <w:rPr>
          <w:rFonts w:ascii="Arial" w:cs="Arial" w:eastAsia="Arial" w:hAnsi="Arial"/>
          <w:b/>
          <w:bCs/>
          <w:caps w:val="false"/>
          <w:color w:val="0D1B2A"/>
          <w:sz w:val="28"/>
          <w:szCs w:val="28"/>
        </w:rPr>
        <w:t xml:space="preserve">Executive Summary</w:t>
      </w:r>
    </w:p>
    <w:p>
      <w:pPr>
        <w:pBdr>
          <w:bottom w:val="single" w:color="C0392B" w:sz="10" w:space="6"/>
        </w:pBdr>
        <w:spacing w:after="180" w:before="0" w:line="276"/>
        <w:jc w:val="left"/>
      </w:pPr>
      <w:r>
        <w:rPr>
          <w:rFonts w:ascii="Arial" w:cs="Arial" w:eastAsia="Arial" w:hAnsi="Arial"/>
          <w:b w:val="false"/>
          <w:bCs w:val="false"/>
          <w:caps w:val="false"/>
          <w:color w:val="0F1111"/>
          <w:sz w:val="18"/>
          <w:szCs w:val="18"/>
        </w:rPr>
        <w:t xml:space="preserve"/>
      </w:r>
    </w:p>
    <w:p>
      <w:pPr>
        <w:spacing w:after="70" w:before="0" w:line="292"/>
        <w:jc w:val="left"/>
      </w:pPr>
      <w:r>
        <w:rPr>
          <w:rFonts w:ascii="Arial" w:cs="Arial" w:eastAsia="Arial" w:hAnsi="Arial"/>
          <w:b w:val="false"/>
          <w:bCs w:val="false"/>
          <w:caps w:val="false"/>
          <w:color w:val="2C3E50"/>
          <w:sz w:val="17"/>
          <w:szCs w:val="17"/>
        </w:rPr>
        <w:t xml:space="preserve">This report documents listing-level issues identified across three Brand X SKUs during account review. All three products have conversion rates significantly below the account average of 13.3% and below category benchmarks. Listing quality issues are a direct upstream cause of poor ad performance — fixing CVR is a prerequisite before scaling paid traffic.</w:t>
      </w:r>
    </w:p>
    <w:p>
      <w:pPr>
        <w:spacing w:after="60" w:before="0" w:line="276"/>
        <w:jc w:val="left"/>
      </w:pPr>
      <w:r>
        <w:rPr>
          <w:rFonts w:ascii="Arial" w:cs="Arial" w:eastAsia="Arial" w:hAnsi="Arial"/>
          <w:b w:val="false"/>
          <w:bCs w:val="false"/>
          <w:caps w:val="false"/>
          <w:color w:val="0F1111"/>
          <w:sz w:val="18"/>
          <w:szCs w:val="18"/>
        </w:rPr>
        <w:t xml:space="preserve"/>
      </w:r>
    </w:p>
    <w:tbl>
      <w:tblPr>
        <w:tblW w:type="dxa" w:w="9212"/>
        <w:tblBorders>
          <w:top w:val="single" w:color="auto" w:sz="4"/>
          <w:left w:val="single" w:color="auto" w:sz="4"/>
          <w:bottom w:val="single" w:color="auto" w:sz="4"/>
          <w:right w:val="single" w:color="auto" w:sz="4"/>
          <w:insideH w:val="single" w:color="auto" w:sz="4"/>
          <w:insideV w:val="single" w:color="auto" w:sz="4"/>
        </w:tblBorders>
      </w:tblPr>
      <w:tblGrid>
        <w:gridCol w:w="1600"/>
        <w:gridCol w:w="7612"/>
      </w:tblGrid>
      <w:tr>
        <w:tc>
          <w:tcPr>
            <w:tcW w:type="dxa" w:w="1600"/>
            <w:tcBorders>
              <w:top w:val="single" w:color="E8EBF0" w:sz="4"/>
              <w:left w:val="single" w:color="E8EBF0" w:sz="4"/>
              <w:bottom w:val="single" w:color="E8EBF0" w:sz="4"/>
              <w:right w:val="single" w:color="E8EBF0" w:sz="4"/>
            </w:tcBorders>
            <w:shd w:fill="F4F6F8"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BX-009  ·  Turmeric 90ct</w:t>
            </w:r>
          </w:p>
        </w:tc>
        <w:tc>
          <w:tcPr>
            <w:tcW w:type="dxa" w:w="7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CVR 7.3% — prohibited health claims, keyword-stuffed title, generic Bullet 1, unused backend keyword capacity</w:t>
            </w:r>
          </w:p>
        </w:tc>
      </w:tr>
      <w:tr>
        <w:tc>
          <w:tcPr>
            <w:tcW w:type="dxa" w:w="1600"/>
            <w:tcBorders>
              <w:top w:val="single" w:color="E8EBF0" w:sz="4"/>
              <w:left w:val="single" w:color="E8EBF0" w:sz="4"/>
              <w:bottom w:val="single" w:color="E8EBF0" w:sz="4"/>
              <w:right w:val="single" w:color="E8EBF0" w:sz="4"/>
            </w:tcBorders>
            <w:shd w:fill="E8EBF0"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BX-011  ·  B Complex 60ct</w:t>
            </w:r>
          </w:p>
        </w:tc>
        <w:tc>
          <w:tcPr>
            <w:tcW w:type="dxa" w:w="7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CVR 6.2% — non-compliant Bullet 2, near-duplicate Bullet 5, wrong A+ comparison frame, no count variation</w:t>
            </w:r>
          </w:p>
        </w:tc>
      </w:tr>
      <w:tr>
        <w:tc>
          <w:tcPr>
            <w:tcW w:type="dxa" w:w="1600"/>
            <w:tcBorders>
              <w:top w:val="single" w:color="E8EBF0" w:sz="4"/>
              <w:left w:val="single" w:color="E8EBF0" w:sz="4"/>
              <w:bottom w:val="single" w:color="E8EBF0" w:sz="4"/>
              <w:right w:val="single" w:color="E8EBF0" w:sz="4"/>
            </w:tcBorders>
            <w:shd w:fill="F4F6F8"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BX-012  ·  Zinc 90ct</w:t>
            </w:r>
          </w:p>
        </w:tc>
        <w:tc>
          <w:tcPr>
            <w:tcW w:type="dxa" w:w="7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CVR 5.8% — suppressed child ASIN (URGENT), zinc form absent from all copy, filler bullet, 18 reviews total</w:t>
            </w:r>
          </w:p>
        </w:tc>
      </w:tr>
    </w:tbl>
    <w:p>
      <w:pPr>
        <w:spacing w:after="80" w:before="0" w:line="276"/>
        <w:jc w:val="left"/>
      </w:pPr>
      <w:r>
        <w:rPr>
          <w:rFonts w:ascii="Arial" w:cs="Arial" w:eastAsia="Arial" w:hAnsi="Arial"/>
          <w:b w:val="false"/>
          <w:bCs w:val="false"/>
          <w:caps w:val="false"/>
          <w:color w:val="0F1111"/>
          <w:sz w:val="18"/>
          <w:szCs w:val="18"/>
        </w:rPr>
        <w:t xml:space="preserve"/>
      </w:r>
    </w:p>
    <w:p>
      <w:pPr>
        <w:spacing w:after="80" w:before="0" w:line="276"/>
        <w:jc w:val="left"/>
      </w:pPr>
      <w:r>
        <w:rPr>
          <w:rFonts w:ascii="Arial" w:cs="Arial" w:eastAsia="Arial" w:hAnsi="Arial"/>
          <w:b/>
          <w:bCs/>
          <w:caps w:val="false"/>
          <w:color w:val="C0392B"/>
          <w:sz w:val="17"/>
          <w:szCs w:val="17"/>
        </w:rPr>
        <w:t xml:space="preserve">Combined revenue opportunity from restoring all three SKUs to account-average CVR (13.3%) at current session volumes: approximately +£12,400 per month.</w:t>
      </w:r>
    </w:p>
    <w:p>
      <w:pPr>
        <w:spacing w:after="200" w:before="0" w:line="276"/>
        <w:jc w:val="left"/>
      </w:pPr>
      <w:r>
        <w:rPr>
          <w:rFonts w:ascii="Arial" w:cs="Arial" w:eastAsia="Arial" w:hAnsi="Arial"/>
          <w:b w:val="false"/>
          <w:bCs w:val="false"/>
          <w:caps w:val="false"/>
          <w:color w:val="0F1111"/>
          <w:sz w:val="18"/>
          <w:szCs w:val="18"/>
        </w:rPr>
        <w:t xml:space="preserve"/>
      </w:r>
    </w:p>
    <w:p>
      <w:r>
        <w:br w:type="page"/>
      </w:r>
    </w:p>
    <w:p>
      <w:pPr>
        <w:spacing w:after="80" w:before="0" w:line="276"/>
        <w:jc w:val="left"/>
      </w:pPr>
      <w:r>
        <w:rPr>
          <w:rFonts w:ascii="Arial" w:cs="Arial" w:eastAsia="Arial" w:hAnsi="Arial"/>
          <w:b w:val="false"/>
          <w:bCs w:val="false"/>
          <w:caps w:val="false"/>
          <w:color w:val="0F1111"/>
          <w:sz w:val="18"/>
          <w:szCs w:val="18"/>
        </w:rPr>
        <w:t xml:space="preserve"/>
      </w:r>
    </w:p>
    <w:p>
      <w:pPr>
        <w:spacing w:after="40" w:before="0" w:line="276"/>
        <w:jc w:val="left"/>
      </w:pPr>
      <w:r>
        <w:rPr>
          <w:rFonts w:ascii="Arial" w:cs="Arial" w:eastAsia="Arial" w:hAnsi="Arial"/>
          <w:b/>
          <w:bCs/>
          <w:caps/>
          <w:color w:val="C0392B"/>
          <w:sz w:val="14"/>
          <w:szCs w:val="14"/>
        </w:rPr>
        <w:t xml:space="preserve">SECTION 02</w:t>
      </w:r>
    </w:p>
    <w:p>
      <w:pPr>
        <w:spacing w:after="80" w:before="0" w:line="276"/>
        <w:jc w:val="left"/>
      </w:pPr>
      <w:r>
        <w:rPr>
          <w:rFonts w:ascii="Arial" w:cs="Arial" w:eastAsia="Arial" w:hAnsi="Arial"/>
          <w:b/>
          <w:bCs/>
          <w:caps w:val="false"/>
          <w:color w:val="0D1B2A"/>
          <w:sz w:val="28"/>
          <w:szCs w:val="28"/>
        </w:rPr>
        <w:t xml:space="preserve">BX-009 — Turmeric Curcumin 90ct</w:t>
      </w:r>
    </w:p>
    <w:p>
      <w:pPr>
        <w:pBdr>
          <w:bottom w:val="single" w:color="C0392B" w:sz="10" w:space="6"/>
        </w:pBdr>
        <w:spacing w:after="180" w:before="0" w:line="276"/>
        <w:jc w:val="left"/>
      </w:pPr>
      <w:r>
        <w:rPr>
          <w:rFonts w:ascii="Arial" w:cs="Arial" w:eastAsia="Arial" w:hAnsi="Arial"/>
          <w:b w:val="false"/>
          <w:bCs w:val="false"/>
          <w:caps w:val="false"/>
          <w:color w:val="0F1111"/>
          <w:sz w:val="18"/>
          <w:szCs w:val="18"/>
        </w:rPr>
        <w:t xml:space="preserve"/>
      </w:r>
    </w:p>
    <w:tbl>
      <w:tblPr>
        <w:tblW w:type="dxa" w:w="9212"/>
        <w:tblBorders>
          <w:top w:val="single" w:color="auto" w:sz="4"/>
          <w:left w:val="single" w:color="auto" w:sz="4"/>
          <w:bottom w:val="single" w:color="auto" w:sz="4"/>
          <w:right w:val="single" w:color="auto" w:sz="4"/>
          <w:insideH w:val="single" w:color="auto" w:sz="4"/>
          <w:insideV w:val="single" w:color="auto" w:sz="4"/>
        </w:tblBorders>
      </w:tblPr>
      <w:tblGrid>
        <w:gridCol w:w="2600"/>
        <w:gridCol w:w="6612"/>
      </w:tblGrid>
      <w:tr>
        <w:tc>
          <w:tcPr>
            <w:tcW w:type="dxa" w:w="2600"/>
            <w:tcBorders>
              <w:top w:val="single" w:color="E8EBF0" w:sz="4"/>
              <w:left w:val="single" w:color="E8EBF0" w:sz="4"/>
              <w:bottom w:val="single" w:color="E8EBF0" w:sz="4"/>
              <w:right w:val="single" w:color="E8EBF0" w:sz="4"/>
            </w:tcBorders>
            <w:shd w:fill="F4F6F8"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SKU / ASIN</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BX-009  ·  B0XXXXX009</w:t>
            </w:r>
          </w:p>
        </w:tc>
      </w:tr>
      <w:tr>
        <w:tc>
          <w:tcPr>
            <w:tcW w:type="dxa" w:w="2600"/>
            <w:tcBorders>
              <w:top w:val="single" w:color="E8EBF0" w:sz="4"/>
              <w:left w:val="single" w:color="E8EBF0" w:sz="4"/>
              <w:bottom w:val="single" w:color="E8EBF0" w:sz="4"/>
              <w:right w:val="single" w:color="E8EBF0" w:sz="4"/>
            </w:tcBorders>
            <w:shd w:fill="E8EBF0"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Product</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Turmeric Curcumin 90ct</w:t>
            </w:r>
          </w:p>
        </w:tc>
      </w:tr>
      <w:tr>
        <w:tc>
          <w:tcPr>
            <w:tcW w:type="dxa" w:w="2600"/>
            <w:tcBorders>
              <w:top w:val="single" w:color="E8EBF0" w:sz="4"/>
              <w:left w:val="single" w:color="E8EBF0" w:sz="4"/>
              <w:bottom w:val="single" w:color="E8EBF0" w:sz="4"/>
              <w:right w:val="single" w:color="E8EBF0" w:sz="4"/>
            </w:tcBorders>
            <w:shd w:fill="F4F6F8"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Marketplace</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Amazon UK</w:t>
            </w:r>
          </w:p>
        </w:tc>
      </w:tr>
      <w:tr>
        <w:tc>
          <w:tcPr>
            <w:tcW w:type="dxa" w:w="2600"/>
            <w:tcBorders>
              <w:top w:val="single" w:color="E8EBF0" w:sz="4"/>
              <w:left w:val="single" w:color="E8EBF0" w:sz="4"/>
              <w:bottom w:val="single" w:color="E8EBF0" w:sz="4"/>
              <w:right w:val="single" w:color="E8EBF0" w:sz="4"/>
            </w:tcBorders>
            <w:shd w:fill="E8EBF0"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Listing Status</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Active — Underperforming</w:t>
            </w:r>
          </w:p>
        </w:tc>
      </w:tr>
      <w:tr>
        <w:tc>
          <w:tcPr>
            <w:tcW w:type="dxa" w:w="2600"/>
            <w:tcBorders>
              <w:top w:val="single" w:color="E8EBF0" w:sz="4"/>
              <w:left w:val="single" w:color="E8EBF0" w:sz="4"/>
              <w:bottom w:val="single" w:color="E8EBF0" w:sz="4"/>
              <w:right w:val="single" w:color="E8EBF0" w:sz="4"/>
            </w:tcBorders>
            <w:shd w:fill="F4F6F8"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30-Day CVR</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7.3%</w:t>
            </w:r>
          </w:p>
        </w:tc>
      </w:tr>
      <w:tr>
        <w:tc>
          <w:tcPr>
            <w:tcW w:type="dxa" w:w="2600"/>
            <w:tcBorders>
              <w:top w:val="single" w:color="E8EBF0" w:sz="4"/>
              <w:left w:val="single" w:color="E8EBF0" w:sz="4"/>
              <w:bottom w:val="single" w:color="E8EBF0" w:sz="4"/>
              <w:right w:val="single" w:color="E8EBF0" w:sz="4"/>
            </w:tcBorders>
            <w:shd w:fill="E8EBF0"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Sessions / Mo</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2,540 / month</w:t>
            </w:r>
          </w:p>
        </w:tc>
      </w:tr>
      <w:tr>
        <w:tc>
          <w:tcPr>
            <w:tcW w:type="dxa" w:w="2600"/>
            <w:tcBorders>
              <w:top w:val="single" w:color="E8EBF0" w:sz="4"/>
              <w:left w:val="single" w:color="E8EBF0" w:sz="4"/>
              <w:bottom w:val="single" w:color="E8EBF0" w:sz="4"/>
              <w:right w:val="single" w:color="E8EBF0" w:sz="4"/>
            </w:tcBorders>
            <w:shd w:fill="F4F6F8"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Organic Rank</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18  /  22  /  25 (top 3 organic positions)</w:t>
            </w:r>
          </w:p>
        </w:tc>
      </w:tr>
    </w:tbl>
    <w:p>
      <w:pPr>
        <w:spacing w:after="120" w:before="0" w:line="276"/>
        <w:jc w:val="left"/>
      </w:pPr>
      <w:r>
        <w:rPr>
          <w:rFonts w:ascii="Arial" w:cs="Arial" w:eastAsia="Arial" w:hAnsi="Arial"/>
          <w:b w:val="false"/>
          <w:bCs w:val="false"/>
          <w:caps w:val="false"/>
          <w:color w:val="0F1111"/>
          <w:sz w:val="18"/>
          <w:szCs w:val="18"/>
        </w:rPr>
        <w:t xml:space="preserve"/>
      </w:r>
    </w:p>
    <w:p>
      <w:pPr>
        <w:spacing w:after="80" w:before="0" w:line="276"/>
        <w:jc w:val="left"/>
      </w:pPr>
      <w:r>
        <w:rPr>
          <w:rFonts w:ascii="Arial" w:cs="Arial" w:eastAsia="Arial" w:hAnsi="Arial"/>
          <w:b/>
          <w:bCs/>
          <w:caps w:val="false"/>
          <w:color w:val="0D1B2A"/>
          <w:sz w:val="18"/>
          <w:szCs w:val="18"/>
        </w:rPr>
        <w:t xml:space="preserve">Issue Log &amp; Recommendations</w:t>
      </w:r>
    </w:p>
    <w:tbl>
      <w:tblPr>
        <w:tblW w:type="dxa" w:w="9212"/>
        <w:tblBorders>
          <w:top w:val="single" w:color="auto" w:sz="4"/>
          <w:left w:val="single" w:color="auto" w:sz="4"/>
          <w:bottom w:val="single" w:color="auto" w:sz="4"/>
          <w:right w:val="single" w:color="auto" w:sz="4"/>
          <w:insideH w:val="single" w:color="auto" w:sz="4"/>
          <w:insideV w:val="single" w:color="auto" w:sz="4"/>
        </w:tblBorders>
      </w:tblPr>
      <w:tblGrid>
        <w:gridCol w:w="1400"/>
        <w:gridCol w:w="2760"/>
        <w:gridCol w:w="3400"/>
        <w:gridCol w:w="652"/>
      </w:tblGrid>
      <w:tr>
        <w:trPr>
          <w:tblHeader/>
        </w:trPr>
        <w:tc>
          <w:tcPr>
            <w:tcW w:type="dxa" w:w="1400"/>
            <w:tcBorders>
              <w:top w:val="single" w:color="0D1B2A" w:sz="4"/>
              <w:left w:val="single" w:color="0D1B2A" w:sz="4"/>
              <w:bottom w:val="single" w:color="0D1B2A" w:sz="4"/>
              <w:right w:val="single" w:color="0D1B2A" w:sz="4"/>
            </w:tcBorders>
            <w:shd w:fill="0D1B2A" w:val="clear"/>
            <w:tcMar>
              <w:top w:type="dxa" w:w="90"/>
              <w:left w:type="dxa" w:w="120"/>
              <w:bottom w:type="dxa" w:w="90"/>
              <w:right w:type="dxa" w:w="120"/>
            </w:tcMar>
            <w:vAlign w:val="center"/>
          </w:tcPr>
          <w:p>
            <w:pPr>
              <w:spacing w:after="80" w:before="0" w:line="276"/>
              <w:jc w:val="center"/>
            </w:pPr>
            <w:r>
              <w:rPr>
                <w:rFonts w:ascii="Arial" w:cs="Arial" w:eastAsia="Arial" w:hAnsi="Arial"/>
                <w:b/>
                <w:bCs/>
                <w:caps w:val="false"/>
                <w:color w:val="FFFFFF"/>
                <w:sz w:val="16"/>
                <w:szCs w:val="16"/>
              </w:rPr>
              <w:t xml:space="preserve">Element</w:t>
            </w:r>
          </w:p>
        </w:tc>
        <w:tc>
          <w:tcPr>
            <w:tcW w:type="dxa" w:w="2760"/>
            <w:tcBorders>
              <w:top w:val="single" w:color="0D1B2A" w:sz="4"/>
              <w:left w:val="single" w:color="0D1B2A" w:sz="4"/>
              <w:bottom w:val="single" w:color="0D1B2A" w:sz="4"/>
              <w:right w:val="single" w:color="0D1B2A" w:sz="4"/>
            </w:tcBorders>
            <w:shd w:fill="0D1B2A" w:val="clear"/>
            <w:tcMar>
              <w:top w:type="dxa" w:w="90"/>
              <w:left w:type="dxa" w:w="120"/>
              <w:bottom w:type="dxa" w:w="90"/>
              <w:right w:type="dxa" w:w="120"/>
            </w:tcMar>
            <w:vAlign w:val="center"/>
          </w:tcPr>
          <w:p>
            <w:pPr>
              <w:spacing w:after="80" w:before="0" w:line="276"/>
              <w:jc w:val="center"/>
            </w:pPr>
            <w:r>
              <w:rPr>
                <w:rFonts w:ascii="Arial" w:cs="Arial" w:eastAsia="Arial" w:hAnsi="Arial"/>
                <w:b/>
                <w:bCs/>
                <w:caps w:val="false"/>
                <w:color w:val="FFFFFF"/>
                <w:sz w:val="16"/>
                <w:szCs w:val="16"/>
              </w:rPr>
              <w:t xml:space="preserve">Issue</w:t>
            </w:r>
          </w:p>
        </w:tc>
        <w:tc>
          <w:tcPr>
            <w:tcW w:type="dxa" w:w="3400"/>
            <w:tcBorders>
              <w:top w:val="single" w:color="0D1B2A" w:sz="4"/>
              <w:left w:val="single" w:color="0D1B2A" w:sz="4"/>
              <w:bottom w:val="single" w:color="0D1B2A" w:sz="4"/>
              <w:right w:val="single" w:color="0D1B2A" w:sz="4"/>
            </w:tcBorders>
            <w:shd w:fill="0D1B2A" w:val="clear"/>
            <w:tcMar>
              <w:top w:type="dxa" w:w="90"/>
              <w:left w:type="dxa" w:w="120"/>
              <w:bottom w:type="dxa" w:w="90"/>
              <w:right w:type="dxa" w:w="120"/>
            </w:tcMar>
            <w:vAlign w:val="center"/>
          </w:tcPr>
          <w:p>
            <w:pPr>
              <w:spacing w:after="80" w:before="0" w:line="276"/>
              <w:jc w:val="center"/>
            </w:pPr>
            <w:r>
              <w:rPr>
                <w:rFonts w:ascii="Arial" w:cs="Arial" w:eastAsia="Arial" w:hAnsi="Arial"/>
                <w:b/>
                <w:bCs/>
                <w:caps w:val="false"/>
                <w:color w:val="FFFFFF"/>
                <w:sz w:val="16"/>
                <w:szCs w:val="16"/>
              </w:rPr>
              <w:t xml:space="preserve">Recommended Fix</w:t>
            </w:r>
          </w:p>
        </w:tc>
        <w:tc>
          <w:tcPr>
            <w:tcW w:type="dxa" w:w="652"/>
            <w:tcBorders>
              <w:top w:val="single" w:color="0D1B2A" w:sz="4"/>
              <w:left w:val="single" w:color="0D1B2A" w:sz="4"/>
              <w:bottom w:val="single" w:color="0D1B2A" w:sz="4"/>
              <w:right w:val="single" w:color="0D1B2A" w:sz="4"/>
            </w:tcBorders>
            <w:shd w:fill="0D1B2A" w:val="clear"/>
            <w:tcMar>
              <w:top w:type="dxa" w:w="90"/>
              <w:left w:type="dxa" w:w="120"/>
              <w:bottom w:type="dxa" w:w="90"/>
              <w:right w:type="dxa" w:w="120"/>
            </w:tcMar>
            <w:vAlign w:val="center"/>
          </w:tcPr>
          <w:p>
            <w:pPr>
              <w:spacing w:after="80" w:before="0" w:line="276"/>
              <w:jc w:val="center"/>
            </w:pPr>
            <w:r>
              <w:rPr>
                <w:rFonts w:ascii="Arial" w:cs="Arial" w:eastAsia="Arial" w:hAnsi="Arial"/>
                <w:b/>
                <w:bCs/>
                <w:caps w:val="false"/>
                <w:color w:val="FFFFFF"/>
                <w:sz w:val="16"/>
                <w:szCs w:val="16"/>
              </w:rPr>
              <w:t xml:space="preserve">Priority</w:t>
            </w:r>
          </w:p>
        </w:tc>
      </w:tr>
      <w:tr>
        <w:tc>
          <w:tcPr>
            <w:tcW w:type="dxa" w:w="1400"/>
            <w:tcBorders>
              <w:top w:val="single" w:color="E8EBF0" w:sz="4"/>
              <w:left w:val="single" w:color="E8EBF0" w:sz="4"/>
              <w:bottom w:val="single" w:color="E8EBF0" w:sz="4"/>
              <w:right w:val="single" w:color="E8EBF0" w:sz="4"/>
            </w:tcBorders>
            <w:shd w:fill="F4F6F8" w:val="clear"/>
            <w:tcMar>
              <w:top w:type="dxa" w:w="88"/>
              <w:left w:type="dxa" w:w="120"/>
              <w:bottom w:type="dxa" w:w="88"/>
              <w:right w:type="dxa" w:w="120"/>
            </w:tcMar>
          </w:tcPr>
          <w:p>
            <w:pPr>
              <w:spacing w:after="80" w:before="0" w:line="280"/>
              <w:jc w:val="left"/>
            </w:pPr>
            <w:r>
              <w:rPr>
                <w:rFonts w:ascii="Arial" w:cs="Arial" w:eastAsia="Arial" w:hAnsi="Arial"/>
                <w:b/>
                <w:bCs/>
                <w:caps w:val="false"/>
                <w:color w:val="0D1B2A"/>
                <w:sz w:val="15"/>
                <w:szCs w:val="15"/>
              </w:rPr>
              <w:t xml:space="preserve">Title</w:t>
            </w:r>
          </w:p>
        </w:tc>
        <w:tc>
          <w:tcPr>
            <w:tcW w:type="dxa" w:w="276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0F1111"/>
                <w:sz w:val="15"/>
                <w:szCs w:val="15"/>
              </w:rPr>
              <w:t xml:space="preserve">'Turmeric' appears 4 times across different phrasing within the same title. Amazon reduces keyword indexing weight for repeated terms and may suppress the listing. The repetition reads naturally at speed but is clearly stuffed on close reading.</w:t>
            </w:r>
          </w:p>
        </w:tc>
        <w:tc>
          <w:tcPr>
            <w:tcW w:type="dxa" w:w="3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1A5276"/>
                <w:sz w:val="15"/>
                <w:szCs w:val="15"/>
              </w:rPr>
              <w:t xml:space="preserve">Rewrite to 100–150 characters, leading with product format and primary differentiator. Each keyword used once. Example: 'Brand X Turmeric Curcumin 500mg — 90 Capsules with BioPerine | High-Absorption Joint Support | 3-Month Supply'.</w:t>
            </w:r>
          </w:p>
        </w:tc>
        <w:tc>
          <w:tcPr>
            <w:tcW w:type="dxa" w:w="652"/>
            <w:tcBorders>
              <w:top w:val="single" w:color="E8EBF0" w:sz="4"/>
              <w:left w:val="single" w:color="E8EBF0" w:sz="4"/>
              <w:bottom w:val="single" w:color="E8EBF0" w:sz="4"/>
              <w:right w:val="single" w:color="E8EBF0" w:sz="4"/>
            </w:tcBorders>
            <w:shd w:fill="FDF2F2" w:val="clear"/>
            <w:tcMar>
              <w:top w:type="dxa" w:w="88"/>
              <w:left w:type="dxa" w:w="80"/>
              <w:bottom w:type="dxa" w:w="88"/>
              <w:right w:type="dxa" w:w="80"/>
            </w:tcMar>
            <w:vAlign w:val="center"/>
          </w:tcPr>
          <w:p>
            <w:pPr>
              <w:spacing w:after="80" w:before="0" w:line="276"/>
              <w:jc w:val="center"/>
            </w:pPr>
            <w:r>
              <w:rPr>
                <w:rFonts w:ascii="Arial" w:cs="Arial" w:eastAsia="Arial" w:hAnsi="Arial"/>
                <w:b/>
                <w:bCs/>
                <w:caps/>
                <w:color w:val="C0392B"/>
                <w:sz w:val="14"/>
                <w:szCs w:val="14"/>
              </w:rPr>
              <w:t xml:space="preserve">HIGH</w:t>
            </w:r>
          </w:p>
        </w:tc>
      </w:tr>
      <w:tr>
        <w:tc>
          <w:tcPr>
            <w:tcW w:type="dxa" w:w="1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0"/>
              <w:jc w:val="left"/>
            </w:pPr>
            <w:r>
              <w:rPr>
                <w:rFonts w:ascii="Arial" w:cs="Arial" w:eastAsia="Arial" w:hAnsi="Arial"/>
                <w:b/>
                <w:bCs/>
                <w:caps w:val="false"/>
                <w:color w:val="0D1B2A"/>
                <w:sz w:val="15"/>
                <w:szCs w:val="15"/>
              </w:rPr>
              <w:t xml:space="preserve">Bullet 1</w:t>
            </w:r>
          </w:p>
        </w:tc>
        <w:tc>
          <w:tcPr>
            <w:tcW w:type="dxa" w:w="276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0F1111"/>
                <w:sz w:val="15"/>
                <w:szCs w:val="15"/>
              </w:rPr>
              <w:t xml:space="preserve">Opens with 'HIGH QUALITY TURMERIC — our premium turmeric supplement is made with high quality turmeric extract…' — entirely generic. No standardised curcuminoid %, no form, no dose. The most-read bullet slot has zero conversion value. Bullet 2 correctly states '500mg standardised extract with 10mg BioPerine' — Bullet 1 should match that specificity.</w:t>
            </w:r>
          </w:p>
        </w:tc>
        <w:tc>
          <w:tcPr>
            <w:tcW w:type="dxa" w:w="3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1A5276"/>
                <w:sz w:val="15"/>
                <w:szCs w:val="15"/>
              </w:rPr>
              <w:t xml:space="preserve">Lead with the quantified claim: standardisation %, compound name, dose, and mechanism. 'STANDARDISED TO 95% CURCUMINOIDS — each 500mg capsule delivers a clinically-studied curcumin concentration with 10mg BioPerine for up to 20x superior absorption vs standard turmeric.'</w:t>
            </w:r>
          </w:p>
        </w:tc>
        <w:tc>
          <w:tcPr>
            <w:tcW w:type="dxa" w:w="652"/>
            <w:tcBorders>
              <w:top w:val="single" w:color="E8EBF0" w:sz="4"/>
              <w:left w:val="single" w:color="E8EBF0" w:sz="4"/>
              <w:bottom w:val="single" w:color="E8EBF0" w:sz="4"/>
              <w:right w:val="single" w:color="E8EBF0" w:sz="4"/>
            </w:tcBorders>
            <w:shd w:fill="FDF2F2" w:val="clear"/>
            <w:tcMar>
              <w:top w:type="dxa" w:w="88"/>
              <w:left w:type="dxa" w:w="80"/>
              <w:bottom w:type="dxa" w:w="88"/>
              <w:right w:type="dxa" w:w="80"/>
            </w:tcMar>
            <w:vAlign w:val="center"/>
          </w:tcPr>
          <w:p>
            <w:pPr>
              <w:spacing w:after="80" w:before="0" w:line="276"/>
              <w:jc w:val="center"/>
            </w:pPr>
            <w:r>
              <w:rPr>
                <w:rFonts w:ascii="Arial" w:cs="Arial" w:eastAsia="Arial" w:hAnsi="Arial"/>
                <w:b/>
                <w:bCs/>
                <w:caps/>
                <w:color w:val="C0392B"/>
                <w:sz w:val="14"/>
                <w:szCs w:val="14"/>
              </w:rPr>
              <w:t xml:space="preserve">HIGH</w:t>
            </w:r>
          </w:p>
        </w:tc>
      </w:tr>
      <w:tr>
        <w:tc>
          <w:tcPr>
            <w:tcW w:type="dxa" w:w="1400"/>
            <w:tcBorders>
              <w:top w:val="single" w:color="E8EBF0" w:sz="4"/>
              <w:left w:val="single" w:color="E8EBF0" w:sz="4"/>
              <w:bottom w:val="single" w:color="E8EBF0" w:sz="4"/>
              <w:right w:val="single" w:color="E8EBF0" w:sz="4"/>
            </w:tcBorders>
            <w:shd w:fill="F4F6F8" w:val="clear"/>
            <w:tcMar>
              <w:top w:type="dxa" w:w="88"/>
              <w:left w:type="dxa" w:w="120"/>
              <w:bottom w:type="dxa" w:w="88"/>
              <w:right w:type="dxa" w:w="120"/>
            </w:tcMar>
          </w:tcPr>
          <w:p>
            <w:pPr>
              <w:spacing w:after="80" w:before="0" w:line="280"/>
              <w:jc w:val="left"/>
            </w:pPr>
            <w:r>
              <w:rPr>
                <w:rFonts w:ascii="Arial" w:cs="Arial" w:eastAsia="Arial" w:hAnsi="Arial"/>
                <w:b/>
                <w:bCs/>
                <w:caps w:val="false"/>
                <w:color w:val="0D1B2A"/>
                <w:sz w:val="15"/>
                <w:szCs w:val="15"/>
              </w:rPr>
              <w:t xml:space="preserve">Bullet 4</w:t>
            </w:r>
          </w:p>
        </w:tc>
        <w:tc>
          <w:tcPr>
            <w:tcW w:type="dxa" w:w="276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0F1111"/>
                <w:sz w:val="15"/>
                <w:szCs w:val="15"/>
              </w:rPr>
              <w:t xml:space="preserve">Makes unauthorised health claims: 'work to reduce and treat joint inflammation' and 'fight the root causes of chronic pain'. These violate EU Regulation 432/2012 and Amazon's health claims policy. The product description compounds this: 'clinically tested to treat joint inflammation' and 'scientifically proven' are both prohibited phrases.</w:t>
            </w:r>
          </w:p>
        </w:tc>
        <w:tc>
          <w:tcPr>
            <w:tcW w:type="dxa" w:w="3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1A5276"/>
                <w:sz w:val="15"/>
                <w:szCs w:val="15"/>
              </w:rPr>
              <w:t xml:space="preserve">Remove all treatment and disease-cure language. Replace with authorised structure-function wording. Reference the permitted EU health claim for curcumin if applicable. Risk of listing suppression is immediate.</w:t>
            </w:r>
          </w:p>
        </w:tc>
        <w:tc>
          <w:tcPr>
            <w:tcW w:type="dxa" w:w="652"/>
            <w:tcBorders>
              <w:top w:val="single" w:color="E8EBF0" w:sz="4"/>
              <w:left w:val="single" w:color="E8EBF0" w:sz="4"/>
              <w:bottom w:val="single" w:color="E8EBF0" w:sz="4"/>
              <w:right w:val="single" w:color="E8EBF0" w:sz="4"/>
            </w:tcBorders>
            <w:shd w:fill="FDF2F2" w:val="clear"/>
            <w:tcMar>
              <w:top w:type="dxa" w:w="88"/>
              <w:left w:type="dxa" w:w="80"/>
              <w:bottom w:type="dxa" w:w="88"/>
              <w:right w:type="dxa" w:w="80"/>
            </w:tcMar>
            <w:vAlign w:val="center"/>
          </w:tcPr>
          <w:p>
            <w:pPr>
              <w:spacing w:after="80" w:before="0" w:line="276"/>
              <w:jc w:val="center"/>
            </w:pPr>
            <w:r>
              <w:rPr>
                <w:rFonts w:ascii="Arial" w:cs="Arial" w:eastAsia="Arial" w:hAnsi="Arial"/>
                <w:b/>
                <w:bCs/>
                <w:caps/>
                <w:color w:val="C0392B"/>
                <w:sz w:val="14"/>
                <w:szCs w:val="14"/>
              </w:rPr>
              <w:t xml:space="preserve">HIGH</w:t>
            </w:r>
          </w:p>
        </w:tc>
      </w:tr>
      <w:tr>
        <w:tc>
          <w:tcPr>
            <w:tcW w:type="dxa" w:w="1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0"/>
              <w:jc w:val="left"/>
            </w:pPr>
            <w:r>
              <w:rPr>
                <w:rFonts w:ascii="Arial" w:cs="Arial" w:eastAsia="Arial" w:hAnsi="Arial"/>
                <w:b/>
                <w:bCs/>
                <w:caps w:val="false"/>
                <w:color w:val="0D1B2A"/>
                <w:sz w:val="15"/>
                <w:szCs w:val="15"/>
              </w:rPr>
              <w:t xml:space="preserve">Bullet 5</w:t>
            </w:r>
          </w:p>
        </w:tc>
        <w:tc>
          <w:tcPr>
            <w:tcW w:type="dxa" w:w="276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0F1111"/>
                <w:sz w:val="15"/>
                <w:szCs w:val="15"/>
              </w:rPr>
              <w:t xml:space="preserve">Reads: 'Brand X is committed to quality. We make supplements. Our products are made in a facility. Take one capsule per day.' — incoherent filler, reads like an unfilled placeholder. No benefit, no trust signal, no purchase rationale.</w:t>
            </w:r>
          </w:p>
        </w:tc>
        <w:tc>
          <w:tcPr>
            <w:tcW w:type="dxa" w:w="3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1A5276"/>
                <w:sz w:val="15"/>
                <w:szCs w:val="15"/>
              </w:rPr>
              <w:t xml:space="preserve">Replace with a specific trust and quality bullet: facility certification (GMP, ISO), third-party testing, vegan/allergen credentials, and a dosage call to action. Every bullet must give a reason to purchase.</w:t>
            </w:r>
          </w:p>
        </w:tc>
        <w:tc>
          <w:tcPr>
            <w:tcW w:type="dxa" w:w="652"/>
            <w:tcBorders>
              <w:top w:val="single" w:color="E8EBF0" w:sz="4"/>
              <w:left w:val="single" w:color="E8EBF0" w:sz="4"/>
              <w:bottom w:val="single" w:color="E8EBF0" w:sz="4"/>
              <w:right w:val="single" w:color="E8EBF0" w:sz="4"/>
            </w:tcBorders>
            <w:shd w:fill="FDF5EC" w:val="clear"/>
            <w:tcMar>
              <w:top w:type="dxa" w:w="88"/>
              <w:left w:type="dxa" w:w="80"/>
              <w:bottom w:type="dxa" w:w="88"/>
              <w:right w:type="dxa" w:w="80"/>
            </w:tcMar>
            <w:vAlign w:val="center"/>
          </w:tcPr>
          <w:p>
            <w:pPr>
              <w:spacing w:after="80" w:before="0" w:line="276"/>
              <w:jc w:val="center"/>
            </w:pPr>
            <w:r>
              <w:rPr>
                <w:rFonts w:ascii="Arial" w:cs="Arial" w:eastAsia="Arial" w:hAnsi="Arial"/>
                <w:b/>
                <w:bCs/>
                <w:caps/>
                <w:color w:val="D35400"/>
                <w:sz w:val="14"/>
                <w:szCs w:val="14"/>
              </w:rPr>
              <w:t xml:space="preserve">MEDIUM</w:t>
            </w:r>
          </w:p>
        </w:tc>
      </w:tr>
      <w:tr>
        <w:tc>
          <w:tcPr>
            <w:tcW w:type="dxa" w:w="1400"/>
            <w:tcBorders>
              <w:top w:val="single" w:color="E8EBF0" w:sz="4"/>
              <w:left w:val="single" w:color="E8EBF0" w:sz="4"/>
              <w:bottom w:val="single" w:color="E8EBF0" w:sz="4"/>
              <w:right w:val="single" w:color="E8EBF0" w:sz="4"/>
            </w:tcBorders>
            <w:shd w:fill="F4F6F8" w:val="clear"/>
            <w:tcMar>
              <w:top w:type="dxa" w:w="88"/>
              <w:left w:type="dxa" w:w="120"/>
              <w:bottom w:type="dxa" w:w="88"/>
              <w:right w:type="dxa" w:w="120"/>
            </w:tcMar>
          </w:tcPr>
          <w:p>
            <w:pPr>
              <w:spacing w:after="80" w:before="0" w:line="280"/>
              <w:jc w:val="left"/>
            </w:pPr>
            <w:r>
              <w:rPr>
                <w:rFonts w:ascii="Arial" w:cs="Arial" w:eastAsia="Arial" w:hAnsi="Arial"/>
                <w:b/>
                <w:bCs/>
                <w:caps w:val="false"/>
                <w:color w:val="0D1B2A"/>
                <w:sz w:val="15"/>
                <w:szCs w:val="15"/>
              </w:rPr>
              <w:t xml:space="preserve">A+ Content</w:t>
            </w:r>
          </w:p>
        </w:tc>
        <w:tc>
          <w:tcPr>
            <w:tcW w:type="dxa" w:w="276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0F1111"/>
                <w:sz w:val="15"/>
                <w:szCs w:val="15"/>
              </w:rPr>
              <w:t xml:space="preserve">Only 2 of the recommended 5 A+ modules are present (benefit imagery + comparison table). Brand story and usage guide modules are absent. The comparison table benchmarks against 'Standard Turmeric' — an unverifiable, undefined category that provides no real differentiation.</w:t>
            </w:r>
          </w:p>
        </w:tc>
        <w:tc>
          <w:tcPr>
            <w:tcW w:type="dxa" w:w="3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1A5276"/>
                <w:sz w:val="15"/>
                <w:szCs w:val="15"/>
              </w:rPr>
              <w:t xml:space="preserve">Complete the A+ module set: add Brand Story, Usage Guide. Rebuild the comparison table against a specific product attribute set (e.g. curcuminoid %, BioPerine included, form, third-party tested) rather than a generic 'standard' baseline.</w:t>
            </w:r>
          </w:p>
        </w:tc>
        <w:tc>
          <w:tcPr>
            <w:tcW w:type="dxa" w:w="652"/>
            <w:tcBorders>
              <w:top w:val="single" w:color="E8EBF0" w:sz="4"/>
              <w:left w:val="single" w:color="E8EBF0" w:sz="4"/>
              <w:bottom w:val="single" w:color="E8EBF0" w:sz="4"/>
              <w:right w:val="single" w:color="E8EBF0" w:sz="4"/>
            </w:tcBorders>
            <w:shd w:fill="FDF5EC" w:val="clear"/>
            <w:tcMar>
              <w:top w:type="dxa" w:w="88"/>
              <w:left w:type="dxa" w:w="80"/>
              <w:bottom w:type="dxa" w:w="88"/>
              <w:right w:type="dxa" w:w="80"/>
            </w:tcMar>
            <w:vAlign w:val="center"/>
          </w:tcPr>
          <w:p>
            <w:pPr>
              <w:spacing w:after="80" w:before="0" w:line="276"/>
              <w:jc w:val="center"/>
            </w:pPr>
            <w:r>
              <w:rPr>
                <w:rFonts w:ascii="Arial" w:cs="Arial" w:eastAsia="Arial" w:hAnsi="Arial"/>
                <w:b/>
                <w:bCs/>
                <w:caps/>
                <w:color w:val="D35400"/>
                <w:sz w:val="14"/>
                <w:szCs w:val="14"/>
              </w:rPr>
              <w:t xml:space="preserve">MEDIUM</w:t>
            </w:r>
          </w:p>
        </w:tc>
      </w:tr>
      <w:tr>
        <w:tc>
          <w:tcPr>
            <w:tcW w:type="dxa" w:w="1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0"/>
              <w:jc w:val="left"/>
            </w:pPr>
            <w:r>
              <w:rPr>
                <w:rFonts w:ascii="Arial" w:cs="Arial" w:eastAsia="Arial" w:hAnsi="Arial"/>
                <w:b/>
                <w:bCs/>
                <w:caps w:val="false"/>
                <w:color w:val="0D1B2A"/>
                <w:sz w:val="15"/>
                <w:szCs w:val="15"/>
              </w:rPr>
              <w:t xml:space="preserve">Backend KWs</w:t>
            </w:r>
          </w:p>
        </w:tc>
        <w:tc>
          <w:tcPr>
            <w:tcW w:type="dxa" w:w="276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0F1111"/>
                <w:sz w:val="15"/>
                <w:szCs w:val="15"/>
              </w:rPr>
              <w:t xml:space="preserve">68 of 250 bytes used. Terms entered ('turmeric supplement curcumin capsules bioperine joint support anti inflammatory turmeric tablets') duplicate the title — wasted allowance. 182 bytes of indexable search term capacity unused.</w:t>
            </w:r>
          </w:p>
        </w:tc>
        <w:tc>
          <w:tcPr>
            <w:tcW w:type="dxa" w:w="3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1A5276"/>
                <w:sz w:val="15"/>
                <w:szCs w:val="15"/>
              </w:rPr>
              <w:t xml:space="preserve">Clear duplicates. Populate remaining 182 bytes with long-tail terms not present in title or bullets: complementary queries, ingredient variants, use-case searches, common misspellings. Do not repeat any term already in the listing.</w:t>
            </w:r>
          </w:p>
        </w:tc>
        <w:tc>
          <w:tcPr>
            <w:tcW w:type="dxa" w:w="652"/>
            <w:tcBorders>
              <w:top w:val="single" w:color="E8EBF0" w:sz="4"/>
              <w:left w:val="single" w:color="E8EBF0" w:sz="4"/>
              <w:bottom w:val="single" w:color="E8EBF0" w:sz="4"/>
              <w:right w:val="single" w:color="E8EBF0" w:sz="4"/>
            </w:tcBorders>
            <w:shd w:fill="FDF2F2" w:val="clear"/>
            <w:tcMar>
              <w:top w:type="dxa" w:w="88"/>
              <w:left w:type="dxa" w:w="80"/>
              <w:bottom w:type="dxa" w:w="88"/>
              <w:right w:type="dxa" w:w="80"/>
            </w:tcMar>
            <w:vAlign w:val="center"/>
          </w:tcPr>
          <w:p>
            <w:pPr>
              <w:spacing w:after="80" w:before="0" w:line="276"/>
              <w:jc w:val="center"/>
            </w:pPr>
            <w:r>
              <w:rPr>
                <w:rFonts w:ascii="Arial" w:cs="Arial" w:eastAsia="Arial" w:hAnsi="Arial"/>
                <w:b/>
                <w:bCs/>
                <w:caps/>
                <w:color w:val="C0392B"/>
                <w:sz w:val="14"/>
                <w:szCs w:val="14"/>
              </w:rPr>
              <w:t xml:space="preserve">HIGH</w:t>
            </w:r>
          </w:p>
        </w:tc>
      </w:tr>
    </w:tbl>
    <w:p>
      <w:pPr>
        <w:spacing w:after="160" w:before="0" w:line="276"/>
        <w:jc w:val="left"/>
      </w:pPr>
      <w:r>
        <w:rPr>
          <w:rFonts w:ascii="Arial" w:cs="Arial" w:eastAsia="Arial" w:hAnsi="Arial"/>
          <w:b w:val="false"/>
          <w:bCs w:val="false"/>
          <w:caps w:val="false"/>
          <w:color w:val="0F1111"/>
          <w:sz w:val="18"/>
          <w:szCs w:val="18"/>
        </w:rPr>
        <w:t xml:space="preserve"/>
      </w:r>
    </w:p>
    <w:tbl>
      <w:tblPr>
        <w:tblW w:type="dxa" w:w="9212"/>
        <w:tblBorders>
          <w:top w:val="single" w:color="auto" w:sz="4"/>
          <w:left w:val="single" w:color="auto" w:sz="4"/>
          <w:bottom w:val="single" w:color="auto" w:sz="4"/>
          <w:right w:val="single" w:color="auto" w:sz="4"/>
          <w:insideH w:val="single" w:color="auto" w:sz="4"/>
          <w:insideV w:val="single" w:color="auto" w:sz="4"/>
        </w:tblBorders>
      </w:tblPr>
      <w:tblGrid>
        <w:gridCol w:w="240"/>
        <w:gridCol w:w="8972"/>
      </w:tblGrid>
      <w:tr>
        <w:tc>
          <w:tcPr>
            <w:tcW w:type="dxa" w:w="240"/>
            <w:tcBorders>
              <w:top w:val="none"/>
              <w:left w:val="none"/>
              <w:bottom w:val="none"/>
              <w:right w:val="none"/>
            </w:tcBorders>
            <w:shd w:fill="C0392B" w:val="clear"/>
            <w:tcMar>
              <w:top w:type="dxa" w:w="0"/>
              <w:left w:type="dxa" w:w="0"/>
              <w:bottom w:type="dxa" w:w="0"/>
              <w:right w:type="dxa" w:w="0"/>
            </w:tcMar>
          </w:tcPr>
          <w:p>
            <w:pPr>
              <w:spacing w:after="80" w:before="0" w:line="276"/>
              <w:jc w:val="left"/>
            </w:pPr>
            <w:r>
              <w:rPr>
                <w:rFonts w:ascii="Arial" w:cs="Arial" w:eastAsia="Arial" w:hAnsi="Arial"/>
                <w:b w:val="false"/>
                <w:bCs w:val="false"/>
                <w:caps w:val="false"/>
                <w:color w:val="0F1111"/>
                <w:sz w:val="18"/>
                <w:szCs w:val="18"/>
              </w:rPr>
              <w:t xml:space="preserve"/>
            </w:r>
          </w:p>
        </w:tc>
        <w:tc>
          <w:tcPr>
            <w:tcW w:type="dxa" w:w="8972"/>
            <w:tcBorders>
              <w:top w:val="single" w:color="E8EBF0" w:sz="4"/>
              <w:left w:val="none"/>
              <w:bottom w:val="single" w:color="E8EBF0" w:sz="4"/>
              <w:right w:val="single" w:color="E8EBF0" w:sz="4"/>
            </w:tcBorders>
            <w:shd w:fill="F4F6F8" w:val="clear"/>
            <w:tcMar>
              <w:top w:type="dxa" w:w="120"/>
              <w:left w:type="dxa" w:w="160"/>
              <w:bottom w:type="dxa" w:w="120"/>
              <w:right w:type="dxa" w:w="160"/>
            </w:tcMar>
          </w:tcPr>
          <w:p>
            <w:pPr>
              <w:spacing w:after="50" w:before="0" w:line="276"/>
              <w:jc w:val="left"/>
            </w:pPr>
            <w:r>
              <w:rPr>
                <w:rFonts w:ascii="Arial" w:cs="Arial" w:eastAsia="Arial" w:hAnsi="Arial"/>
                <w:b/>
                <w:bCs/>
                <w:caps w:val="false"/>
                <w:color w:val="0D1B2A"/>
                <w:sz w:val="16"/>
                <w:szCs w:val="16"/>
              </w:rPr>
              <w:t xml:space="preserve">Priority Summary — BX-009</w:t>
            </w:r>
          </w:p>
          <w:p>
            <w:pPr>
              <w:spacing w:after="80" w:before="0" w:line="288"/>
              <w:jc w:val="left"/>
            </w:pPr>
            <w:r>
              <w:rPr>
                <w:rFonts w:ascii="Arial" w:cs="Arial" w:eastAsia="Arial" w:hAnsi="Arial"/>
                <w:b w:val="false"/>
                <w:bCs w:val="false"/>
                <w:caps w:val="false"/>
                <w:color w:val="0F1111"/>
                <w:sz w:val="16"/>
                <w:szCs w:val="16"/>
              </w:rPr>
              <w:t xml:space="preserve">4 HIGH priority issues identified. Target completion: within 7 days of report issue. Current CVR 7.3% is 6.0pp below account average (13.3%).</w:t>
            </w:r>
          </w:p>
        </w:tc>
      </w:tr>
    </w:tbl>
    <w:p>
      <w:pPr>
        <w:spacing w:after="200" w:before="0" w:line="276"/>
        <w:jc w:val="left"/>
      </w:pPr>
      <w:r>
        <w:rPr>
          <w:rFonts w:ascii="Arial" w:cs="Arial" w:eastAsia="Arial" w:hAnsi="Arial"/>
          <w:b w:val="false"/>
          <w:bCs w:val="false"/>
          <w:caps w:val="false"/>
          <w:color w:val="0F1111"/>
          <w:sz w:val="18"/>
          <w:szCs w:val="18"/>
        </w:rPr>
        <w:t xml:space="preserve"/>
      </w:r>
    </w:p>
    <w:p>
      <w:r>
        <w:br w:type="page"/>
      </w:r>
    </w:p>
    <w:p>
      <w:pPr>
        <w:spacing w:after="80" w:before="0" w:line="276"/>
        <w:jc w:val="left"/>
      </w:pPr>
      <w:r>
        <w:rPr>
          <w:rFonts w:ascii="Arial" w:cs="Arial" w:eastAsia="Arial" w:hAnsi="Arial"/>
          <w:b w:val="false"/>
          <w:bCs w:val="false"/>
          <w:caps w:val="false"/>
          <w:color w:val="0F1111"/>
          <w:sz w:val="18"/>
          <w:szCs w:val="18"/>
        </w:rPr>
        <w:t xml:space="preserve"/>
      </w:r>
    </w:p>
    <w:p>
      <w:pPr>
        <w:spacing w:after="40" w:before="0" w:line="276"/>
        <w:jc w:val="left"/>
      </w:pPr>
      <w:r>
        <w:rPr>
          <w:rFonts w:ascii="Arial" w:cs="Arial" w:eastAsia="Arial" w:hAnsi="Arial"/>
          <w:b/>
          <w:bCs/>
          <w:caps/>
          <w:color w:val="C0392B"/>
          <w:sz w:val="14"/>
          <w:szCs w:val="14"/>
        </w:rPr>
        <w:t xml:space="preserve">SECTION 03</w:t>
      </w:r>
    </w:p>
    <w:p>
      <w:pPr>
        <w:spacing w:after="80" w:before="0" w:line="276"/>
        <w:jc w:val="left"/>
      </w:pPr>
      <w:r>
        <w:rPr>
          <w:rFonts w:ascii="Arial" w:cs="Arial" w:eastAsia="Arial" w:hAnsi="Arial"/>
          <w:b/>
          <w:bCs/>
          <w:caps w:val="false"/>
          <w:color w:val="0D1B2A"/>
          <w:sz w:val="28"/>
          <w:szCs w:val="28"/>
        </w:rPr>
        <w:t xml:space="preserve">BX-011 — B Complex 60ct</w:t>
      </w:r>
    </w:p>
    <w:p>
      <w:pPr>
        <w:pBdr>
          <w:bottom w:val="single" w:color="C0392B" w:sz="10" w:space="6"/>
        </w:pBdr>
        <w:spacing w:after="180" w:before="0" w:line="276"/>
        <w:jc w:val="left"/>
      </w:pPr>
      <w:r>
        <w:rPr>
          <w:rFonts w:ascii="Arial" w:cs="Arial" w:eastAsia="Arial" w:hAnsi="Arial"/>
          <w:b w:val="false"/>
          <w:bCs w:val="false"/>
          <w:caps w:val="false"/>
          <w:color w:val="0F1111"/>
          <w:sz w:val="18"/>
          <w:szCs w:val="18"/>
        </w:rPr>
        <w:t xml:space="preserve"/>
      </w:r>
    </w:p>
    <w:tbl>
      <w:tblPr>
        <w:tblW w:type="dxa" w:w="9212"/>
        <w:tblBorders>
          <w:top w:val="single" w:color="auto" w:sz="4"/>
          <w:left w:val="single" w:color="auto" w:sz="4"/>
          <w:bottom w:val="single" w:color="auto" w:sz="4"/>
          <w:right w:val="single" w:color="auto" w:sz="4"/>
          <w:insideH w:val="single" w:color="auto" w:sz="4"/>
          <w:insideV w:val="single" w:color="auto" w:sz="4"/>
        </w:tblBorders>
      </w:tblPr>
      <w:tblGrid>
        <w:gridCol w:w="2600"/>
        <w:gridCol w:w="6612"/>
      </w:tblGrid>
      <w:tr>
        <w:tc>
          <w:tcPr>
            <w:tcW w:type="dxa" w:w="2600"/>
            <w:tcBorders>
              <w:top w:val="single" w:color="E8EBF0" w:sz="4"/>
              <w:left w:val="single" w:color="E8EBF0" w:sz="4"/>
              <w:bottom w:val="single" w:color="E8EBF0" w:sz="4"/>
              <w:right w:val="single" w:color="E8EBF0" w:sz="4"/>
            </w:tcBorders>
            <w:shd w:fill="F4F6F8"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SKU / ASIN</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BX-011  ·  B0XXXXX011</w:t>
            </w:r>
          </w:p>
        </w:tc>
      </w:tr>
      <w:tr>
        <w:tc>
          <w:tcPr>
            <w:tcW w:type="dxa" w:w="2600"/>
            <w:tcBorders>
              <w:top w:val="single" w:color="E8EBF0" w:sz="4"/>
              <w:left w:val="single" w:color="E8EBF0" w:sz="4"/>
              <w:bottom w:val="single" w:color="E8EBF0" w:sz="4"/>
              <w:right w:val="single" w:color="E8EBF0" w:sz="4"/>
            </w:tcBorders>
            <w:shd w:fill="E8EBF0"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Product</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B Complex 60ct</w:t>
            </w:r>
          </w:p>
        </w:tc>
      </w:tr>
      <w:tr>
        <w:tc>
          <w:tcPr>
            <w:tcW w:type="dxa" w:w="2600"/>
            <w:tcBorders>
              <w:top w:val="single" w:color="E8EBF0" w:sz="4"/>
              <w:left w:val="single" w:color="E8EBF0" w:sz="4"/>
              <w:bottom w:val="single" w:color="E8EBF0" w:sz="4"/>
              <w:right w:val="single" w:color="E8EBF0" w:sz="4"/>
            </w:tcBorders>
            <w:shd w:fill="F4F6F8"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Marketplace</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Amazon UK</w:t>
            </w:r>
          </w:p>
        </w:tc>
      </w:tr>
      <w:tr>
        <w:tc>
          <w:tcPr>
            <w:tcW w:type="dxa" w:w="2600"/>
            <w:tcBorders>
              <w:top w:val="single" w:color="E8EBF0" w:sz="4"/>
              <w:left w:val="single" w:color="E8EBF0" w:sz="4"/>
              <w:bottom w:val="single" w:color="E8EBF0" w:sz="4"/>
              <w:right w:val="single" w:color="E8EBF0" w:sz="4"/>
            </w:tcBorders>
            <w:shd w:fill="E8EBF0"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Listing Status</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Active — Poor CVR</w:t>
            </w:r>
          </w:p>
        </w:tc>
      </w:tr>
      <w:tr>
        <w:tc>
          <w:tcPr>
            <w:tcW w:type="dxa" w:w="2600"/>
            <w:tcBorders>
              <w:top w:val="single" w:color="E8EBF0" w:sz="4"/>
              <w:left w:val="single" w:color="E8EBF0" w:sz="4"/>
              <w:bottom w:val="single" w:color="E8EBF0" w:sz="4"/>
              <w:right w:val="single" w:color="E8EBF0" w:sz="4"/>
            </w:tcBorders>
            <w:shd w:fill="F4F6F8"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30-Day CVR</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6.2%</w:t>
            </w:r>
          </w:p>
        </w:tc>
      </w:tr>
      <w:tr>
        <w:tc>
          <w:tcPr>
            <w:tcW w:type="dxa" w:w="2600"/>
            <w:tcBorders>
              <w:top w:val="single" w:color="E8EBF0" w:sz="4"/>
              <w:left w:val="single" w:color="E8EBF0" w:sz="4"/>
              <w:bottom w:val="single" w:color="E8EBF0" w:sz="4"/>
              <w:right w:val="single" w:color="E8EBF0" w:sz="4"/>
            </w:tcBorders>
            <w:shd w:fill="E8EBF0"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Sessions / Mo</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2,110 / month</w:t>
            </w:r>
          </w:p>
        </w:tc>
      </w:tr>
      <w:tr>
        <w:tc>
          <w:tcPr>
            <w:tcW w:type="dxa" w:w="2600"/>
            <w:tcBorders>
              <w:top w:val="single" w:color="E8EBF0" w:sz="4"/>
              <w:left w:val="single" w:color="E8EBF0" w:sz="4"/>
              <w:bottom w:val="single" w:color="E8EBF0" w:sz="4"/>
              <w:right w:val="single" w:color="E8EBF0" w:sz="4"/>
            </w:tcBorders>
            <w:shd w:fill="F4F6F8"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Organic Rank</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21  /  28  /  35 (top 3 organic positions)</w:t>
            </w:r>
          </w:p>
        </w:tc>
      </w:tr>
    </w:tbl>
    <w:p>
      <w:pPr>
        <w:spacing w:after="120" w:before="0" w:line="276"/>
        <w:jc w:val="left"/>
      </w:pPr>
      <w:r>
        <w:rPr>
          <w:rFonts w:ascii="Arial" w:cs="Arial" w:eastAsia="Arial" w:hAnsi="Arial"/>
          <w:b w:val="false"/>
          <w:bCs w:val="false"/>
          <w:caps w:val="false"/>
          <w:color w:val="0F1111"/>
          <w:sz w:val="18"/>
          <w:szCs w:val="18"/>
        </w:rPr>
        <w:t xml:space="preserve"/>
      </w:r>
    </w:p>
    <w:p>
      <w:pPr>
        <w:spacing w:after="80" w:before="0" w:line="276"/>
        <w:jc w:val="left"/>
      </w:pPr>
      <w:r>
        <w:rPr>
          <w:rFonts w:ascii="Arial" w:cs="Arial" w:eastAsia="Arial" w:hAnsi="Arial"/>
          <w:b/>
          <w:bCs/>
          <w:caps w:val="false"/>
          <w:color w:val="0D1B2A"/>
          <w:sz w:val="18"/>
          <w:szCs w:val="18"/>
        </w:rPr>
        <w:t xml:space="preserve">Issue Log &amp; Recommendations</w:t>
      </w:r>
    </w:p>
    <w:tbl>
      <w:tblPr>
        <w:tblW w:type="dxa" w:w="9212"/>
        <w:tblBorders>
          <w:top w:val="single" w:color="auto" w:sz="4"/>
          <w:left w:val="single" w:color="auto" w:sz="4"/>
          <w:bottom w:val="single" w:color="auto" w:sz="4"/>
          <w:right w:val="single" w:color="auto" w:sz="4"/>
          <w:insideH w:val="single" w:color="auto" w:sz="4"/>
          <w:insideV w:val="single" w:color="auto" w:sz="4"/>
        </w:tblBorders>
      </w:tblPr>
      <w:tblGrid>
        <w:gridCol w:w="1400"/>
        <w:gridCol w:w="2760"/>
        <w:gridCol w:w="3400"/>
        <w:gridCol w:w="652"/>
      </w:tblGrid>
      <w:tr>
        <w:trPr>
          <w:tblHeader/>
        </w:trPr>
        <w:tc>
          <w:tcPr>
            <w:tcW w:type="dxa" w:w="1400"/>
            <w:tcBorders>
              <w:top w:val="single" w:color="0D1B2A" w:sz="4"/>
              <w:left w:val="single" w:color="0D1B2A" w:sz="4"/>
              <w:bottom w:val="single" w:color="0D1B2A" w:sz="4"/>
              <w:right w:val="single" w:color="0D1B2A" w:sz="4"/>
            </w:tcBorders>
            <w:shd w:fill="0D1B2A" w:val="clear"/>
            <w:tcMar>
              <w:top w:type="dxa" w:w="90"/>
              <w:left w:type="dxa" w:w="120"/>
              <w:bottom w:type="dxa" w:w="90"/>
              <w:right w:type="dxa" w:w="120"/>
            </w:tcMar>
            <w:vAlign w:val="center"/>
          </w:tcPr>
          <w:p>
            <w:pPr>
              <w:spacing w:after="80" w:before="0" w:line="276"/>
              <w:jc w:val="center"/>
            </w:pPr>
            <w:r>
              <w:rPr>
                <w:rFonts w:ascii="Arial" w:cs="Arial" w:eastAsia="Arial" w:hAnsi="Arial"/>
                <w:b/>
                <w:bCs/>
                <w:caps w:val="false"/>
                <w:color w:val="FFFFFF"/>
                <w:sz w:val="16"/>
                <w:szCs w:val="16"/>
              </w:rPr>
              <w:t xml:space="preserve">Element</w:t>
            </w:r>
          </w:p>
        </w:tc>
        <w:tc>
          <w:tcPr>
            <w:tcW w:type="dxa" w:w="2760"/>
            <w:tcBorders>
              <w:top w:val="single" w:color="0D1B2A" w:sz="4"/>
              <w:left w:val="single" w:color="0D1B2A" w:sz="4"/>
              <w:bottom w:val="single" w:color="0D1B2A" w:sz="4"/>
              <w:right w:val="single" w:color="0D1B2A" w:sz="4"/>
            </w:tcBorders>
            <w:shd w:fill="0D1B2A" w:val="clear"/>
            <w:tcMar>
              <w:top w:type="dxa" w:w="90"/>
              <w:left w:type="dxa" w:w="120"/>
              <w:bottom w:type="dxa" w:w="90"/>
              <w:right w:type="dxa" w:w="120"/>
            </w:tcMar>
            <w:vAlign w:val="center"/>
          </w:tcPr>
          <w:p>
            <w:pPr>
              <w:spacing w:after="80" w:before="0" w:line="276"/>
              <w:jc w:val="center"/>
            </w:pPr>
            <w:r>
              <w:rPr>
                <w:rFonts w:ascii="Arial" w:cs="Arial" w:eastAsia="Arial" w:hAnsi="Arial"/>
                <w:b/>
                <w:bCs/>
                <w:caps w:val="false"/>
                <w:color w:val="FFFFFF"/>
                <w:sz w:val="16"/>
                <w:szCs w:val="16"/>
              </w:rPr>
              <w:t xml:space="preserve">Issue</w:t>
            </w:r>
          </w:p>
        </w:tc>
        <w:tc>
          <w:tcPr>
            <w:tcW w:type="dxa" w:w="3400"/>
            <w:tcBorders>
              <w:top w:val="single" w:color="0D1B2A" w:sz="4"/>
              <w:left w:val="single" w:color="0D1B2A" w:sz="4"/>
              <w:bottom w:val="single" w:color="0D1B2A" w:sz="4"/>
              <w:right w:val="single" w:color="0D1B2A" w:sz="4"/>
            </w:tcBorders>
            <w:shd w:fill="0D1B2A" w:val="clear"/>
            <w:tcMar>
              <w:top w:type="dxa" w:w="90"/>
              <w:left w:type="dxa" w:w="120"/>
              <w:bottom w:type="dxa" w:w="90"/>
              <w:right w:type="dxa" w:w="120"/>
            </w:tcMar>
            <w:vAlign w:val="center"/>
          </w:tcPr>
          <w:p>
            <w:pPr>
              <w:spacing w:after="80" w:before="0" w:line="276"/>
              <w:jc w:val="center"/>
            </w:pPr>
            <w:r>
              <w:rPr>
                <w:rFonts w:ascii="Arial" w:cs="Arial" w:eastAsia="Arial" w:hAnsi="Arial"/>
                <w:b/>
                <w:bCs/>
                <w:caps w:val="false"/>
                <w:color w:val="FFFFFF"/>
                <w:sz w:val="16"/>
                <w:szCs w:val="16"/>
              </w:rPr>
              <w:t xml:space="preserve">Recommended Fix</w:t>
            </w:r>
          </w:p>
        </w:tc>
        <w:tc>
          <w:tcPr>
            <w:tcW w:type="dxa" w:w="652"/>
            <w:tcBorders>
              <w:top w:val="single" w:color="0D1B2A" w:sz="4"/>
              <w:left w:val="single" w:color="0D1B2A" w:sz="4"/>
              <w:bottom w:val="single" w:color="0D1B2A" w:sz="4"/>
              <w:right w:val="single" w:color="0D1B2A" w:sz="4"/>
            </w:tcBorders>
            <w:shd w:fill="0D1B2A" w:val="clear"/>
            <w:tcMar>
              <w:top w:type="dxa" w:w="90"/>
              <w:left w:type="dxa" w:w="120"/>
              <w:bottom w:type="dxa" w:w="90"/>
              <w:right w:type="dxa" w:w="120"/>
            </w:tcMar>
            <w:vAlign w:val="center"/>
          </w:tcPr>
          <w:p>
            <w:pPr>
              <w:spacing w:after="80" w:before="0" w:line="276"/>
              <w:jc w:val="center"/>
            </w:pPr>
            <w:r>
              <w:rPr>
                <w:rFonts w:ascii="Arial" w:cs="Arial" w:eastAsia="Arial" w:hAnsi="Arial"/>
                <w:b/>
                <w:bCs/>
                <w:caps w:val="false"/>
                <w:color w:val="FFFFFF"/>
                <w:sz w:val="16"/>
                <w:szCs w:val="16"/>
              </w:rPr>
              <w:t xml:space="preserve">Priority</w:t>
            </w:r>
          </w:p>
        </w:tc>
      </w:tr>
      <w:tr>
        <w:tc>
          <w:tcPr>
            <w:tcW w:type="dxa" w:w="1400"/>
            <w:tcBorders>
              <w:top w:val="single" w:color="E8EBF0" w:sz="4"/>
              <w:left w:val="single" w:color="E8EBF0" w:sz="4"/>
              <w:bottom w:val="single" w:color="E8EBF0" w:sz="4"/>
              <w:right w:val="single" w:color="E8EBF0" w:sz="4"/>
            </w:tcBorders>
            <w:shd w:fill="F4F6F8" w:val="clear"/>
            <w:tcMar>
              <w:top w:type="dxa" w:w="88"/>
              <w:left w:type="dxa" w:w="120"/>
              <w:bottom w:type="dxa" w:w="88"/>
              <w:right w:type="dxa" w:w="120"/>
            </w:tcMar>
          </w:tcPr>
          <w:p>
            <w:pPr>
              <w:spacing w:after="80" w:before="0" w:line="280"/>
              <w:jc w:val="left"/>
            </w:pPr>
            <w:r>
              <w:rPr>
                <w:rFonts w:ascii="Arial" w:cs="Arial" w:eastAsia="Arial" w:hAnsi="Arial"/>
                <w:b/>
                <w:bCs/>
                <w:caps w:val="false"/>
                <w:color w:val="0D1B2A"/>
                <w:sz w:val="15"/>
                <w:szCs w:val="15"/>
              </w:rPr>
              <w:t xml:space="preserve">Title</w:t>
            </w:r>
          </w:p>
        </w:tc>
        <w:tc>
          <w:tcPr>
            <w:tcW w:type="dxa" w:w="276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0F1111"/>
                <w:sz w:val="15"/>
                <w:szCs w:val="15"/>
              </w:rPr>
              <w:t xml:space="preserve">'Vitamins' appears 3 times and 'Energy' appears twice within the same title string. Amazon's indexing algorithm down-weights repeated terms and may flag the title for keyword stuffing, reducing organic visibility.</w:t>
            </w:r>
          </w:p>
        </w:tc>
        <w:tc>
          <w:tcPr>
            <w:tcW w:type="dxa" w:w="3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1A5276"/>
                <w:sz w:val="15"/>
                <w:szCs w:val="15"/>
              </w:rPr>
              <w:t xml:space="preserve">Rewrite with each keyword appearing once. Target 120–150 characters, benefit-led: 'Brand X Vitamin B Complex 60 Tablets — All 8 B Vitamins incl. B12 &amp;amp; Folic Acid | Energy, Metabolism &amp;amp; Nervous System Support'.</w:t>
            </w:r>
          </w:p>
        </w:tc>
        <w:tc>
          <w:tcPr>
            <w:tcW w:type="dxa" w:w="652"/>
            <w:tcBorders>
              <w:top w:val="single" w:color="E8EBF0" w:sz="4"/>
              <w:left w:val="single" w:color="E8EBF0" w:sz="4"/>
              <w:bottom w:val="single" w:color="E8EBF0" w:sz="4"/>
              <w:right w:val="single" w:color="E8EBF0" w:sz="4"/>
            </w:tcBorders>
            <w:shd w:fill="FDF2F2" w:val="clear"/>
            <w:tcMar>
              <w:top w:type="dxa" w:w="88"/>
              <w:left w:type="dxa" w:w="80"/>
              <w:bottom w:type="dxa" w:w="88"/>
              <w:right w:type="dxa" w:w="80"/>
            </w:tcMar>
            <w:vAlign w:val="center"/>
          </w:tcPr>
          <w:p>
            <w:pPr>
              <w:spacing w:after="80" w:before="0" w:line="276"/>
              <w:jc w:val="center"/>
            </w:pPr>
            <w:r>
              <w:rPr>
                <w:rFonts w:ascii="Arial" w:cs="Arial" w:eastAsia="Arial" w:hAnsi="Arial"/>
                <w:b/>
                <w:bCs/>
                <w:caps/>
                <w:color w:val="C0392B"/>
                <w:sz w:val="14"/>
                <w:szCs w:val="14"/>
              </w:rPr>
              <w:t xml:space="preserve">HIGH</w:t>
            </w:r>
          </w:p>
        </w:tc>
      </w:tr>
      <w:tr>
        <w:tc>
          <w:tcPr>
            <w:tcW w:type="dxa" w:w="1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0"/>
              <w:jc w:val="left"/>
            </w:pPr>
            <w:r>
              <w:rPr>
                <w:rFonts w:ascii="Arial" w:cs="Arial" w:eastAsia="Arial" w:hAnsi="Arial"/>
                <w:b/>
                <w:bCs/>
                <w:caps w:val="false"/>
                <w:color w:val="0D1B2A"/>
                <w:sz w:val="15"/>
                <w:szCs w:val="15"/>
              </w:rPr>
              <w:t xml:space="preserve">Bullet 2</w:t>
            </w:r>
          </w:p>
        </w:tc>
        <w:tc>
          <w:tcPr>
            <w:tcW w:type="dxa" w:w="276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0F1111"/>
                <w:sz w:val="15"/>
                <w:szCs w:val="15"/>
              </w:rPr>
              <w:t xml:space="preserve">States 'GOOD FOR HEALTH — our vitamin B complex tablets are good for your health and general wellbeing, supporting a healthy lifestyle when combined with a balanced diet'. This is a non-compliant vague wellness claim. Amazon's health claims policy prohibits unsubstantiated general wellbeing statements; this bullet could trigger a listing flag or removal.</w:t>
            </w:r>
          </w:p>
        </w:tc>
        <w:tc>
          <w:tcPr>
            <w:tcW w:type="dxa" w:w="3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1A5276"/>
                <w:sz w:val="15"/>
                <w:szCs w:val="15"/>
              </w:rPr>
              <w:t xml:space="preserve">Replace with a specific, mechanism-referenced claim compliant with EU Reg 432/2012. Bullet 3 ('energy-yielding metabolism', 'reduction of tiredness and fatigue') is the correct model — Bullet 2 should follow the same pattern with a different, permitted B-vitamin benefit.</w:t>
            </w:r>
          </w:p>
        </w:tc>
        <w:tc>
          <w:tcPr>
            <w:tcW w:type="dxa" w:w="652"/>
            <w:tcBorders>
              <w:top w:val="single" w:color="E8EBF0" w:sz="4"/>
              <w:left w:val="single" w:color="E8EBF0" w:sz="4"/>
              <w:bottom w:val="single" w:color="E8EBF0" w:sz="4"/>
              <w:right w:val="single" w:color="E8EBF0" w:sz="4"/>
            </w:tcBorders>
            <w:shd w:fill="FDF2F2" w:val="clear"/>
            <w:tcMar>
              <w:top w:type="dxa" w:w="88"/>
              <w:left w:type="dxa" w:w="80"/>
              <w:bottom w:type="dxa" w:w="88"/>
              <w:right w:type="dxa" w:w="80"/>
            </w:tcMar>
            <w:vAlign w:val="center"/>
          </w:tcPr>
          <w:p>
            <w:pPr>
              <w:spacing w:after="80" w:before="0" w:line="276"/>
              <w:jc w:val="center"/>
            </w:pPr>
            <w:r>
              <w:rPr>
                <w:rFonts w:ascii="Arial" w:cs="Arial" w:eastAsia="Arial" w:hAnsi="Arial"/>
                <w:b/>
                <w:bCs/>
                <w:caps/>
                <w:color w:val="C0392B"/>
                <w:sz w:val="14"/>
                <w:szCs w:val="14"/>
              </w:rPr>
              <w:t xml:space="preserve">HIGH</w:t>
            </w:r>
          </w:p>
        </w:tc>
      </w:tr>
      <w:tr>
        <w:tc>
          <w:tcPr>
            <w:tcW w:type="dxa" w:w="1400"/>
            <w:tcBorders>
              <w:top w:val="single" w:color="E8EBF0" w:sz="4"/>
              <w:left w:val="single" w:color="E8EBF0" w:sz="4"/>
              <w:bottom w:val="single" w:color="E8EBF0" w:sz="4"/>
              <w:right w:val="single" w:color="E8EBF0" w:sz="4"/>
            </w:tcBorders>
            <w:shd w:fill="F4F6F8" w:val="clear"/>
            <w:tcMar>
              <w:top w:type="dxa" w:w="88"/>
              <w:left w:type="dxa" w:w="120"/>
              <w:bottom w:type="dxa" w:w="88"/>
              <w:right w:type="dxa" w:w="120"/>
            </w:tcMar>
          </w:tcPr>
          <w:p>
            <w:pPr>
              <w:spacing w:after="80" w:before="0" w:line="280"/>
              <w:jc w:val="left"/>
            </w:pPr>
            <w:r>
              <w:rPr>
                <w:rFonts w:ascii="Arial" w:cs="Arial" w:eastAsia="Arial" w:hAnsi="Arial"/>
                <w:b/>
                <w:bCs/>
                <w:caps w:val="false"/>
                <w:color w:val="0D1B2A"/>
                <w:sz w:val="15"/>
                <w:szCs w:val="15"/>
              </w:rPr>
              <w:t xml:space="preserve">Bullet 5</w:t>
            </w:r>
          </w:p>
        </w:tc>
        <w:tc>
          <w:tcPr>
            <w:tcW w:type="dxa" w:w="276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0F1111"/>
                <w:sz w:val="15"/>
                <w:szCs w:val="15"/>
              </w:rPr>
              <w:t xml:space="preserve">Near-verbatim repeat of Bullet 4 — both cover vegetarian/vegan suitability. Bullet 4: 'free from artificial additives, gluten-free and suitable for vegetarians and vegans'. Bullet 5: 'contain no animal-derived ingredients… suitable for vegetarians and vegans'. A wasted conversion slot that could address dosing, manufacturing quality, or a third distinct use case.</w:t>
            </w:r>
          </w:p>
        </w:tc>
        <w:tc>
          <w:tcPr>
            <w:tcW w:type="dxa" w:w="3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1A5276"/>
                <w:sz w:val="15"/>
                <w:szCs w:val="15"/>
              </w:rPr>
              <w:t xml:space="preserve">Replace with a quality and trust bullet: GMP facility, third-party testing, country of manufacture, and storage guidance. Each of the 5 bullet slots should cover a distinct benefit or trust signal.</w:t>
            </w:r>
          </w:p>
        </w:tc>
        <w:tc>
          <w:tcPr>
            <w:tcW w:type="dxa" w:w="652"/>
            <w:tcBorders>
              <w:top w:val="single" w:color="E8EBF0" w:sz="4"/>
              <w:left w:val="single" w:color="E8EBF0" w:sz="4"/>
              <w:bottom w:val="single" w:color="E8EBF0" w:sz="4"/>
              <w:right w:val="single" w:color="E8EBF0" w:sz="4"/>
            </w:tcBorders>
            <w:shd w:fill="FDF5EC" w:val="clear"/>
            <w:tcMar>
              <w:top w:type="dxa" w:w="88"/>
              <w:left w:type="dxa" w:w="80"/>
              <w:bottom w:type="dxa" w:w="88"/>
              <w:right w:type="dxa" w:w="80"/>
            </w:tcMar>
            <w:vAlign w:val="center"/>
          </w:tcPr>
          <w:p>
            <w:pPr>
              <w:spacing w:after="80" w:before="0" w:line="276"/>
              <w:jc w:val="center"/>
            </w:pPr>
            <w:r>
              <w:rPr>
                <w:rFonts w:ascii="Arial" w:cs="Arial" w:eastAsia="Arial" w:hAnsi="Arial"/>
                <w:b/>
                <w:bCs/>
                <w:caps/>
                <w:color w:val="D35400"/>
                <w:sz w:val="14"/>
                <w:szCs w:val="14"/>
              </w:rPr>
              <w:t xml:space="preserve">MEDIUM</w:t>
            </w:r>
          </w:p>
        </w:tc>
      </w:tr>
      <w:tr>
        <w:tc>
          <w:tcPr>
            <w:tcW w:type="dxa" w:w="1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0"/>
              <w:jc w:val="left"/>
            </w:pPr>
            <w:r>
              <w:rPr>
                <w:rFonts w:ascii="Arial" w:cs="Arial" w:eastAsia="Arial" w:hAnsi="Arial"/>
                <w:b/>
                <w:bCs/>
                <w:caps w:val="false"/>
                <w:color w:val="0D1B2A"/>
                <w:sz w:val="15"/>
                <w:szCs w:val="15"/>
              </w:rPr>
              <w:t xml:space="preserve">A+ Content</w:t>
            </w:r>
          </w:p>
        </w:tc>
        <w:tc>
          <w:tcPr>
            <w:tcW w:type="dxa" w:w="276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0F1111"/>
                <w:sz w:val="15"/>
                <w:szCs w:val="15"/>
              </w:rPr>
              <w:t xml:space="preserve">The A+ comparison table benchmarks against 'Energy Drinks' and 'Coffee' rather than competing B vitamin supplements. This is the wrong frame of reference for a customer who is already browsing supplements and choosing between brands. The comparison provides no competitive differentiation.</w:t>
            </w:r>
          </w:p>
        </w:tc>
        <w:tc>
          <w:tcPr>
            <w:tcW w:type="dxa" w:w="3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1A5276"/>
                <w:sz w:val="15"/>
                <w:szCs w:val="15"/>
              </w:rPr>
              <w:t xml:space="preserve">Rebuild comparison table against the relevant competitor type (high-street supplement brands or other Amazon B complex products). Compare on attributes that matter to the buyer: which B12 form (Methylcobalamin vs Cyanocobalamin), dose per B vitamin, vegan status, tablet count.</w:t>
            </w:r>
          </w:p>
        </w:tc>
        <w:tc>
          <w:tcPr>
            <w:tcW w:type="dxa" w:w="652"/>
            <w:tcBorders>
              <w:top w:val="single" w:color="E8EBF0" w:sz="4"/>
              <w:left w:val="single" w:color="E8EBF0" w:sz="4"/>
              <w:bottom w:val="single" w:color="E8EBF0" w:sz="4"/>
              <w:right w:val="single" w:color="E8EBF0" w:sz="4"/>
            </w:tcBorders>
            <w:shd w:fill="FDF5EC" w:val="clear"/>
            <w:tcMar>
              <w:top w:type="dxa" w:w="88"/>
              <w:left w:type="dxa" w:w="80"/>
              <w:bottom w:type="dxa" w:w="88"/>
              <w:right w:type="dxa" w:w="80"/>
            </w:tcMar>
            <w:vAlign w:val="center"/>
          </w:tcPr>
          <w:p>
            <w:pPr>
              <w:spacing w:after="80" w:before="0" w:line="276"/>
              <w:jc w:val="center"/>
            </w:pPr>
            <w:r>
              <w:rPr>
                <w:rFonts w:ascii="Arial" w:cs="Arial" w:eastAsia="Arial" w:hAnsi="Arial"/>
                <w:b/>
                <w:bCs/>
                <w:caps/>
                <w:color w:val="D35400"/>
                <w:sz w:val="14"/>
                <w:szCs w:val="14"/>
              </w:rPr>
              <w:t xml:space="preserve">MEDIUM</w:t>
            </w:r>
          </w:p>
        </w:tc>
      </w:tr>
      <w:tr>
        <w:tc>
          <w:tcPr>
            <w:tcW w:type="dxa" w:w="1400"/>
            <w:tcBorders>
              <w:top w:val="single" w:color="E8EBF0" w:sz="4"/>
              <w:left w:val="single" w:color="E8EBF0" w:sz="4"/>
              <w:bottom w:val="single" w:color="E8EBF0" w:sz="4"/>
              <w:right w:val="single" w:color="E8EBF0" w:sz="4"/>
            </w:tcBorders>
            <w:shd w:fill="F4F6F8" w:val="clear"/>
            <w:tcMar>
              <w:top w:type="dxa" w:w="88"/>
              <w:left w:type="dxa" w:w="120"/>
              <w:bottom w:type="dxa" w:w="88"/>
              <w:right w:type="dxa" w:w="120"/>
            </w:tcMar>
          </w:tcPr>
          <w:p>
            <w:pPr>
              <w:spacing w:after="80" w:before="0" w:line="280"/>
              <w:jc w:val="left"/>
            </w:pPr>
            <w:r>
              <w:rPr>
                <w:rFonts w:ascii="Arial" w:cs="Arial" w:eastAsia="Arial" w:hAnsi="Arial"/>
                <w:b/>
                <w:bCs/>
                <w:caps w:val="false"/>
                <w:color w:val="0D1B2A"/>
                <w:sz w:val="15"/>
                <w:szCs w:val="15"/>
              </w:rPr>
              <w:t xml:space="preserve">Variation</w:t>
            </w:r>
          </w:p>
        </w:tc>
        <w:tc>
          <w:tcPr>
            <w:tcW w:type="dxa" w:w="276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0F1111"/>
                <w:sz w:val="15"/>
                <w:szCs w:val="15"/>
              </w:rPr>
              <w:t xml:space="preserve">Single 60ct ASIN only — no 120ct or 180ct option. The product is positioned as a daily supplement, yet no higher-count option exists to capture repeat buyers, reduce purchase friction, or increase average order value.</w:t>
            </w:r>
          </w:p>
        </w:tc>
        <w:tc>
          <w:tcPr>
            <w:tcW w:type="dxa" w:w="3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1A5276"/>
                <w:sz w:val="15"/>
                <w:szCs w:val="15"/>
              </w:rPr>
              <w:t xml:space="preserve">Create a parent-child variation: 60ct (existing) + 120ct + 180ct. Higher-count variants typically achieve a better BSR rank per unit sold and improve customer lifetime value.</w:t>
            </w:r>
          </w:p>
        </w:tc>
        <w:tc>
          <w:tcPr>
            <w:tcW w:type="dxa" w:w="652"/>
            <w:tcBorders>
              <w:top w:val="single" w:color="E8EBF0" w:sz="4"/>
              <w:left w:val="single" w:color="E8EBF0" w:sz="4"/>
              <w:bottom w:val="single" w:color="E8EBF0" w:sz="4"/>
              <w:right w:val="single" w:color="E8EBF0" w:sz="4"/>
            </w:tcBorders>
            <w:shd w:fill="FDF5EC" w:val="clear"/>
            <w:tcMar>
              <w:top w:type="dxa" w:w="88"/>
              <w:left w:type="dxa" w:w="80"/>
              <w:bottom w:type="dxa" w:w="88"/>
              <w:right w:type="dxa" w:w="80"/>
            </w:tcMar>
            <w:vAlign w:val="center"/>
          </w:tcPr>
          <w:p>
            <w:pPr>
              <w:spacing w:after="80" w:before="0" w:line="276"/>
              <w:jc w:val="center"/>
            </w:pPr>
            <w:r>
              <w:rPr>
                <w:rFonts w:ascii="Arial" w:cs="Arial" w:eastAsia="Arial" w:hAnsi="Arial"/>
                <w:b/>
                <w:bCs/>
                <w:caps/>
                <w:color w:val="D35400"/>
                <w:sz w:val="14"/>
                <w:szCs w:val="14"/>
              </w:rPr>
              <w:t xml:space="preserve">MEDIUM</w:t>
            </w:r>
          </w:p>
        </w:tc>
      </w:tr>
      <w:tr>
        <w:tc>
          <w:tcPr>
            <w:tcW w:type="dxa" w:w="1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0"/>
              <w:jc w:val="left"/>
            </w:pPr>
            <w:r>
              <w:rPr>
                <w:rFonts w:ascii="Arial" w:cs="Arial" w:eastAsia="Arial" w:hAnsi="Arial"/>
                <w:b/>
                <w:bCs/>
                <w:caps w:val="false"/>
                <w:color w:val="0D1B2A"/>
                <w:sz w:val="15"/>
                <w:szCs w:val="15"/>
              </w:rPr>
              <w:t xml:space="preserve">Backend KWs</w:t>
            </w:r>
          </w:p>
        </w:tc>
        <w:tc>
          <w:tcPr>
            <w:tcW w:type="dxa" w:w="276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0F1111"/>
                <w:sz w:val="15"/>
                <w:szCs w:val="15"/>
              </w:rPr>
              <w:t xml:space="preserve">94 of 250 bytes used. Terms include title duplicates ('vitamin b complex', 'b12 supplement', 'b vitamins uk') — wasted allowance. 156 bytes unused. High-volume synonyms absent: 'methylcobalamin', 'folic acid supplement', 'b complex high strength', 'vitamin b deficiency'.</w:t>
            </w:r>
          </w:p>
        </w:tc>
        <w:tc>
          <w:tcPr>
            <w:tcW w:type="dxa" w:w="3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1A5276"/>
                <w:sz w:val="15"/>
                <w:szCs w:val="15"/>
              </w:rPr>
              <w:t xml:space="preserve">Clear all title-duplicate terms. Populate remaining bytes with non-title terms: form-specific searches (methylcobalamin), use-case terms (energy, fatigue, brain fog), and long-tail variations.</w:t>
            </w:r>
          </w:p>
        </w:tc>
        <w:tc>
          <w:tcPr>
            <w:tcW w:type="dxa" w:w="652"/>
            <w:tcBorders>
              <w:top w:val="single" w:color="E8EBF0" w:sz="4"/>
              <w:left w:val="single" w:color="E8EBF0" w:sz="4"/>
              <w:bottom w:val="single" w:color="E8EBF0" w:sz="4"/>
              <w:right w:val="single" w:color="E8EBF0" w:sz="4"/>
            </w:tcBorders>
            <w:shd w:fill="FDF2F2" w:val="clear"/>
            <w:tcMar>
              <w:top w:type="dxa" w:w="88"/>
              <w:left w:type="dxa" w:w="80"/>
              <w:bottom w:type="dxa" w:w="88"/>
              <w:right w:type="dxa" w:w="80"/>
            </w:tcMar>
            <w:vAlign w:val="center"/>
          </w:tcPr>
          <w:p>
            <w:pPr>
              <w:spacing w:after="80" w:before="0" w:line="276"/>
              <w:jc w:val="center"/>
            </w:pPr>
            <w:r>
              <w:rPr>
                <w:rFonts w:ascii="Arial" w:cs="Arial" w:eastAsia="Arial" w:hAnsi="Arial"/>
                <w:b/>
                <w:bCs/>
                <w:caps/>
                <w:color w:val="C0392B"/>
                <w:sz w:val="14"/>
                <w:szCs w:val="14"/>
              </w:rPr>
              <w:t xml:space="preserve">HIGH</w:t>
            </w:r>
          </w:p>
        </w:tc>
      </w:tr>
    </w:tbl>
    <w:p>
      <w:pPr>
        <w:spacing w:after="160" w:before="0" w:line="276"/>
        <w:jc w:val="left"/>
      </w:pPr>
      <w:r>
        <w:rPr>
          <w:rFonts w:ascii="Arial" w:cs="Arial" w:eastAsia="Arial" w:hAnsi="Arial"/>
          <w:b w:val="false"/>
          <w:bCs w:val="false"/>
          <w:caps w:val="false"/>
          <w:color w:val="0F1111"/>
          <w:sz w:val="18"/>
          <w:szCs w:val="18"/>
        </w:rPr>
        <w:t xml:space="preserve"/>
      </w:r>
    </w:p>
    <w:tbl>
      <w:tblPr>
        <w:tblW w:type="dxa" w:w="9212"/>
        <w:tblBorders>
          <w:top w:val="single" w:color="auto" w:sz="4"/>
          <w:left w:val="single" w:color="auto" w:sz="4"/>
          <w:bottom w:val="single" w:color="auto" w:sz="4"/>
          <w:right w:val="single" w:color="auto" w:sz="4"/>
          <w:insideH w:val="single" w:color="auto" w:sz="4"/>
          <w:insideV w:val="single" w:color="auto" w:sz="4"/>
        </w:tblBorders>
      </w:tblPr>
      <w:tblGrid>
        <w:gridCol w:w="240"/>
        <w:gridCol w:w="8972"/>
      </w:tblGrid>
      <w:tr>
        <w:tc>
          <w:tcPr>
            <w:tcW w:type="dxa" w:w="240"/>
            <w:tcBorders>
              <w:top w:val="none"/>
              <w:left w:val="none"/>
              <w:bottom w:val="none"/>
              <w:right w:val="none"/>
            </w:tcBorders>
            <w:shd w:fill="C0392B" w:val="clear"/>
            <w:tcMar>
              <w:top w:type="dxa" w:w="0"/>
              <w:left w:type="dxa" w:w="0"/>
              <w:bottom w:type="dxa" w:w="0"/>
              <w:right w:type="dxa" w:w="0"/>
            </w:tcMar>
          </w:tcPr>
          <w:p>
            <w:pPr>
              <w:spacing w:after="80" w:before="0" w:line="276"/>
              <w:jc w:val="left"/>
            </w:pPr>
            <w:r>
              <w:rPr>
                <w:rFonts w:ascii="Arial" w:cs="Arial" w:eastAsia="Arial" w:hAnsi="Arial"/>
                <w:b w:val="false"/>
                <w:bCs w:val="false"/>
                <w:caps w:val="false"/>
                <w:color w:val="0F1111"/>
                <w:sz w:val="18"/>
                <w:szCs w:val="18"/>
              </w:rPr>
              <w:t xml:space="preserve"/>
            </w:r>
          </w:p>
        </w:tc>
        <w:tc>
          <w:tcPr>
            <w:tcW w:type="dxa" w:w="8972"/>
            <w:tcBorders>
              <w:top w:val="single" w:color="E8EBF0" w:sz="4"/>
              <w:left w:val="none"/>
              <w:bottom w:val="single" w:color="E8EBF0" w:sz="4"/>
              <w:right w:val="single" w:color="E8EBF0" w:sz="4"/>
            </w:tcBorders>
            <w:shd w:fill="F4F6F8" w:val="clear"/>
            <w:tcMar>
              <w:top w:type="dxa" w:w="120"/>
              <w:left w:type="dxa" w:w="160"/>
              <w:bottom w:type="dxa" w:w="120"/>
              <w:right w:type="dxa" w:w="160"/>
            </w:tcMar>
          </w:tcPr>
          <w:p>
            <w:pPr>
              <w:spacing w:after="50" w:before="0" w:line="276"/>
              <w:jc w:val="left"/>
            </w:pPr>
            <w:r>
              <w:rPr>
                <w:rFonts w:ascii="Arial" w:cs="Arial" w:eastAsia="Arial" w:hAnsi="Arial"/>
                <w:b/>
                <w:bCs/>
                <w:caps w:val="false"/>
                <w:color w:val="0D1B2A"/>
                <w:sz w:val="16"/>
                <w:szCs w:val="16"/>
              </w:rPr>
              <w:t xml:space="preserve">Priority Summary — BX-011</w:t>
            </w:r>
          </w:p>
          <w:p>
            <w:pPr>
              <w:spacing w:after="80" w:before="0" w:line="288"/>
              <w:jc w:val="left"/>
            </w:pPr>
            <w:r>
              <w:rPr>
                <w:rFonts w:ascii="Arial" w:cs="Arial" w:eastAsia="Arial" w:hAnsi="Arial"/>
                <w:b w:val="false"/>
                <w:bCs w:val="false"/>
                <w:caps w:val="false"/>
                <w:color w:val="0F1111"/>
                <w:sz w:val="16"/>
                <w:szCs w:val="16"/>
              </w:rPr>
              <w:t xml:space="preserve">3 HIGH priority issues identified. Target completion: within 7 days of report issue. Current CVR 6.2% is 7.1pp below account average (13.3%).</w:t>
            </w:r>
          </w:p>
        </w:tc>
      </w:tr>
    </w:tbl>
    <w:p>
      <w:pPr>
        <w:spacing w:after="200" w:before="0" w:line="276"/>
        <w:jc w:val="left"/>
      </w:pPr>
      <w:r>
        <w:rPr>
          <w:rFonts w:ascii="Arial" w:cs="Arial" w:eastAsia="Arial" w:hAnsi="Arial"/>
          <w:b w:val="false"/>
          <w:bCs w:val="false"/>
          <w:caps w:val="false"/>
          <w:color w:val="0F1111"/>
          <w:sz w:val="18"/>
          <w:szCs w:val="18"/>
        </w:rPr>
        <w:t xml:space="preserve"/>
      </w:r>
    </w:p>
    <w:p>
      <w:r>
        <w:br w:type="page"/>
      </w:r>
    </w:p>
    <w:p>
      <w:pPr>
        <w:spacing w:after="80" w:before="0" w:line="276"/>
        <w:jc w:val="left"/>
      </w:pPr>
      <w:r>
        <w:rPr>
          <w:rFonts w:ascii="Arial" w:cs="Arial" w:eastAsia="Arial" w:hAnsi="Arial"/>
          <w:b w:val="false"/>
          <w:bCs w:val="false"/>
          <w:caps w:val="false"/>
          <w:color w:val="0F1111"/>
          <w:sz w:val="18"/>
          <w:szCs w:val="18"/>
        </w:rPr>
        <w:t xml:space="preserve"/>
      </w:r>
    </w:p>
    <w:p>
      <w:pPr>
        <w:spacing w:after="40" w:before="0" w:line="276"/>
        <w:jc w:val="left"/>
      </w:pPr>
      <w:r>
        <w:rPr>
          <w:rFonts w:ascii="Arial" w:cs="Arial" w:eastAsia="Arial" w:hAnsi="Arial"/>
          <w:b/>
          <w:bCs/>
          <w:caps/>
          <w:color w:val="C0392B"/>
          <w:sz w:val="14"/>
          <w:szCs w:val="14"/>
        </w:rPr>
        <w:t xml:space="preserve">SECTION 04</w:t>
      </w:r>
    </w:p>
    <w:p>
      <w:pPr>
        <w:spacing w:after="80" w:before="0" w:line="276"/>
        <w:jc w:val="left"/>
      </w:pPr>
      <w:r>
        <w:rPr>
          <w:rFonts w:ascii="Arial" w:cs="Arial" w:eastAsia="Arial" w:hAnsi="Arial"/>
          <w:b/>
          <w:bCs/>
          <w:caps w:val="false"/>
          <w:color w:val="0D1B2A"/>
          <w:sz w:val="28"/>
          <w:szCs w:val="28"/>
        </w:rPr>
        <w:t xml:space="preserve">BX-012 — Zinc 25mg 90ct</w:t>
      </w:r>
    </w:p>
    <w:p>
      <w:pPr>
        <w:pBdr>
          <w:bottom w:val="single" w:color="C0392B" w:sz="10" w:space="6"/>
        </w:pBdr>
        <w:spacing w:after="180" w:before="0" w:line="276"/>
        <w:jc w:val="left"/>
      </w:pPr>
      <w:r>
        <w:rPr>
          <w:rFonts w:ascii="Arial" w:cs="Arial" w:eastAsia="Arial" w:hAnsi="Arial"/>
          <w:b w:val="false"/>
          <w:bCs w:val="false"/>
          <w:caps w:val="false"/>
          <w:color w:val="0F1111"/>
          <w:sz w:val="18"/>
          <w:szCs w:val="18"/>
        </w:rPr>
        <w:t xml:space="preserve"/>
      </w:r>
    </w:p>
    <w:tbl>
      <w:tblPr>
        <w:tblW w:type="dxa" w:w="9212"/>
        <w:tblBorders>
          <w:top w:val="single" w:color="auto" w:sz="4"/>
          <w:left w:val="single" w:color="auto" w:sz="4"/>
          <w:bottom w:val="single" w:color="auto" w:sz="4"/>
          <w:right w:val="single" w:color="auto" w:sz="4"/>
          <w:insideH w:val="single" w:color="auto" w:sz="4"/>
          <w:insideV w:val="single" w:color="auto" w:sz="4"/>
        </w:tblBorders>
      </w:tblPr>
      <w:tblGrid>
        <w:gridCol w:w="2600"/>
        <w:gridCol w:w="6612"/>
      </w:tblGrid>
      <w:tr>
        <w:tc>
          <w:tcPr>
            <w:tcW w:type="dxa" w:w="2600"/>
            <w:tcBorders>
              <w:top w:val="single" w:color="E8EBF0" w:sz="4"/>
              <w:left w:val="single" w:color="E8EBF0" w:sz="4"/>
              <w:bottom w:val="single" w:color="E8EBF0" w:sz="4"/>
              <w:right w:val="single" w:color="E8EBF0" w:sz="4"/>
            </w:tcBorders>
            <w:shd w:fill="F4F6F8"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SKU / ASIN</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BX-012  ·  B0XXXXX012</w:t>
            </w:r>
          </w:p>
        </w:tc>
      </w:tr>
      <w:tr>
        <w:tc>
          <w:tcPr>
            <w:tcW w:type="dxa" w:w="2600"/>
            <w:tcBorders>
              <w:top w:val="single" w:color="E8EBF0" w:sz="4"/>
              <w:left w:val="single" w:color="E8EBF0" w:sz="4"/>
              <w:bottom w:val="single" w:color="E8EBF0" w:sz="4"/>
              <w:right w:val="single" w:color="E8EBF0" w:sz="4"/>
            </w:tcBorders>
            <w:shd w:fill="E8EBF0"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Product</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Zinc 25mg 90ct</w:t>
            </w:r>
          </w:p>
        </w:tc>
      </w:tr>
      <w:tr>
        <w:tc>
          <w:tcPr>
            <w:tcW w:type="dxa" w:w="2600"/>
            <w:tcBorders>
              <w:top w:val="single" w:color="E8EBF0" w:sz="4"/>
              <w:left w:val="single" w:color="E8EBF0" w:sz="4"/>
              <w:bottom w:val="single" w:color="E8EBF0" w:sz="4"/>
              <w:right w:val="single" w:color="E8EBF0" w:sz="4"/>
            </w:tcBorders>
            <w:shd w:fill="F4F6F8"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Marketplace</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Amazon UK</w:t>
            </w:r>
          </w:p>
        </w:tc>
      </w:tr>
      <w:tr>
        <w:tc>
          <w:tcPr>
            <w:tcW w:type="dxa" w:w="2600"/>
            <w:tcBorders>
              <w:top w:val="single" w:color="E8EBF0" w:sz="4"/>
              <w:left w:val="single" w:color="E8EBF0" w:sz="4"/>
              <w:bottom w:val="single" w:color="E8EBF0" w:sz="4"/>
              <w:right w:val="single" w:color="E8EBF0" w:sz="4"/>
            </w:tcBorders>
            <w:shd w:fill="E8EBF0"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Listing Status</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SUPPRESSED VARIATION — URGENT</w:t>
            </w:r>
          </w:p>
        </w:tc>
      </w:tr>
      <w:tr>
        <w:tc>
          <w:tcPr>
            <w:tcW w:type="dxa" w:w="2600"/>
            <w:tcBorders>
              <w:top w:val="single" w:color="E8EBF0" w:sz="4"/>
              <w:left w:val="single" w:color="E8EBF0" w:sz="4"/>
              <w:bottom w:val="single" w:color="E8EBF0" w:sz="4"/>
              <w:right w:val="single" w:color="E8EBF0" w:sz="4"/>
            </w:tcBorders>
            <w:shd w:fill="F4F6F8"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30-Day CVR</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5.8%</w:t>
            </w:r>
          </w:p>
        </w:tc>
      </w:tr>
      <w:tr>
        <w:tc>
          <w:tcPr>
            <w:tcW w:type="dxa" w:w="2600"/>
            <w:tcBorders>
              <w:top w:val="single" w:color="E8EBF0" w:sz="4"/>
              <w:left w:val="single" w:color="E8EBF0" w:sz="4"/>
              <w:bottom w:val="single" w:color="E8EBF0" w:sz="4"/>
              <w:right w:val="single" w:color="E8EBF0" w:sz="4"/>
            </w:tcBorders>
            <w:shd w:fill="E8EBF0"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Sessions / Mo</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1,840 / month</w:t>
            </w:r>
          </w:p>
        </w:tc>
      </w:tr>
      <w:tr>
        <w:tc>
          <w:tcPr>
            <w:tcW w:type="dxa" w:w="2600"/>
            <w:tcBorders>
              <w:top w:val="single" w:color="E8EBF0" w:sz="4"/>
              <w:left w:val="single" w:color="E8EBF0" w:sz="4"/>
              <w:bottom w:val="single" w:color="E8EBF0" w:sz="4"/>
              <w:right w:val="single" w:color="E8EBF0" w:sz="4"/>
            </w:tcBorders>
            <w:shd w:fill="F4F6F8" w:val="clear"/>
            <w:tcMar>
              <w:top w:type="dxa" w:w="96"/>
              <w:left w:type="dxa" w:w="130"/>
              <w:bottom w:type="dxa" w:w="96"/>
              <w:right w:type="dxa" w:w="130"/>
            </w:tcMar>
          </w:tcPr>
          <w:p>
            <w:pPr>
              <w:spacing w:after="80" w:before="0" w:line="276"/>
              <w:jc w:val="left"/>
            </w:pPr>
            <w:r>
              <w:rPr>
                <w:rFonts w:ascii="Arial" w:cs="Arial" w:eastAsia="Arial" w:hAnsi="Arial"/>
                <w:b/>
                <w:bCs/>
                <w:caps w:val="false"/>
                <w:color w:val="0D1B2A"/>
                <w:sz w:val="17"/>
                <w:szCs w:val="17"/>
              </w:rPr>
              <w:t xml:space="preserve">Organic Rank</w:t>
            </w:r>
          </w:p>
        </w:tc>
        <w:tc>
          <w:tcPr>
            <w:tcW w:type="dxa" w:w="6612"/>
            <w:tcBorders>
              <w:top w:val="single" w:color="E8EBF0" w:sz="4"/>
              <w:left w:val="single" w:color="E8EBF0" w:sz="4"/>
              <w:bottom w:val="single" w:color="E8EBF0" w:sz="4"/>
              <w:right w:val="single" w:color="E8EBF0" w:sz="4"/>
            </w:tcBorders>
            <w:shd w:fill="FFFFFF" w:val="clear"/>
            <w:tcMar>
              <w:top w:type="dxa" w:w="96"/>
              <w:left w:type="dxa" w:w="130"/>
              <w:bottom w:type="dxa" w:w="96"/>
              <w:right w:type="dxa" w:w="130"/>
            </w:tcMar>
          </w:tcPr>
          <w:p>
            <w:pPr>
              <w:spacing w:after="80" w:before="0" w:line="276"/>
              <w:jc w:val="left"/>
            </w:pPr>
            <w:r>
              <w:rPr>
                <w:rFonts w:ascii="Arial" w:cs="Arial" w:eastAsia="Arial" w:hAnsi="Arial"/>
                <w:b w:val="false"/>
                <w:bCs w:val="false"/>
                <w:caps w:val="false"/>
                <w:color w:val="0F1111"/>
                <w:sz w:val="17"/>
                <w:szCs w:val="17"/>
              </w:rPr>
              <w:t xml:space="preserve">24  /  31  /  40 (top 3 organic positions)</w:t>
            </w:r>
          </w:p>
        </w:tc>
      </w:tr>
    </w:tbl>
    <w:p>
      <w:pPr>
        <w:spacing w:after="120" w:before="0" w:line="276"/>
        <w:jc w:val="left"/>
      </w:pPr>
      <w:r>
        <w:rPr>
          <w:rFonts w:ascii="Arial" w:cs="Arial" w:eastAsia="Arial" w:hAnsi="Arial"/>
          <w:b w:val="false"/>
          <w:bCs w:val="false"/>
          <w:caps w:val="false"/>
          <w:color w:val="0F1111"/>
          <w:sz w:val="18"/>
          <w:szCs w:val="18"/>
        </w:rPr>
        <w:t xml:space="preserve"/>
      </w:r>
    </w:p>
    <w:p>
      <w:pPr>
        <w:spacing w:after="80" w:before="0" w:line="276"/>
        <w:jc w:val="left"/>
      </w:pPr>
      <w:r>
        <w:rPr>
          <w:rFonts w:ascii="Arial" w:cs="Arial" w:eastAsia="Arial" w:hAnsi="Arial"/>
          <w:b/>
          <w:bCs/>
          <w:caps w:val="false"/>
          <w:color w:val="0D1B2A"/>
          <w:sz w:val="18"/>
          <w:szCs w:val="18"/>
        </w:rPr>
        <w:t xml:space="preserve">Issue Log &amp; Recommendations</w:t>
      </w:r>
    </w:p>
    <w:tbl>
      <w:tblPr>
        <w:tblW w:type="dxa" w:w="9212"/>
        <w:tblBorders>
          <w:top w:val="single" w:color="auto" w:sz="4"/>
          <w:left w:val="single" w:color="auto" w:sz="4"/>
          <w:bottom w:val="single" w:color="auto" w:sz="4"/>
          <w:right w:val="single" w:color="auto" w:sz="4"/>
          <w:insideH w:val="single" w:color="auto" w:sz="4"/>
          <w:insideV w:val="single" w:color="auto" w:sz="4"/>
        </w:tblBorders>
      </w:tblPr>
      <w:tblGrid>
        <w:gridCol w:w="1400"/>
        <w:gridCol w:w="2760"/>
        <w:gridCol w:w="3400"/>
        <w:gridCol w:w="652"/>
      </w:tblGrid>
      <w:tr>
        <w:trPr>
          <w:tblHeader/>
        </w:trPr>
        <w:tc>
          <w:tcPr>
            <w:tcW w:type="dxa" w:w="1400"/>
            <w:tcBorders>
              <w:top w:val="single" w:color="0D1B2A" w:sz="4"/>
              <w:left w:val="single" w:color="0D1B2A" w:sz="4"/>
              <w:bottom w:val="single" w:color="0D1B2A" w:sz="4"/>
              <w:right w:val="single" w:color="0D1B2A" w:sz="4"/>
            </w:tcBorders>
            <w:shd w:fill="0D1B2A" w:val="clear"/>
            <w:tcMar>
              <w:top w:type="dxa" w:w="90"/>
              <w:left w:type="dxa" w:w="120"/>
              <w:bottom w:type="dxa" w:w="90"/>
              <w:right w:type="dxa" w:w="120"/>
            </w:tcMar>
            <w:vAlign w:val="center"/>
          </w:tcPr>
          <w:p>
            <w:pPr>
              <w:spacing w:after="80" w:before="0" w:line="276"/>
              <w:jc w:val="center"/>
            </w:pPr>
            <w:r>
              <w:rPr>
                <w:rFonts w:ascii="Arial" w:cs="Arial" w:eastAsia="Arial" w:hAnsi="Arial"/>
                <w:b/>
                <w:bCs/>
                <w:caps w:val="false"/>
                <w:color w:val="FFFFFF"/>
                <w:sz w:val="16"/>
                <w:szCs w:val="16"/>
              </w:rPr>
              <w:t xml:space="preserve">Element</w:t>
            </w:r>
          </w:p>
        </w:tc>
        <w:tc>
          <w:tcPr>
            <w:tcW w:type="dxa" w:w="2760"/>
            <w:tcBorders>
              <w:top w:val="single" w:color="0D1B2A" w:sz="4"/>
              <w:left w:val="single" w:color="0D1B2A" w:sz="4"/>
              <w:bottom w:val="single" w:color="0D1B2A" w:sz="4"/>
              <w:right w:val="single" w:color="0D1B2A" w:sz="4"/>
            </w:tcBorders>
            <w:shd w:fill="0D1B2A" w:val="clear"/>
            <w:tcMar>
              <w:top w:type="dxa" w:w="90"/>
              <w:left w:type="dxa" w:w="120"/>
              <w:bottom w:type="dxa" w:w="90"/>
              <w:right w:type="dxa" w:w="120"/>
            </w:tcMar>
            <w:vAlign w:val="center"/>
          </w:tcPr>
          <w:p>
            <w:pPr>
              <w:spacing w:after="80" w:before="0" w:line="276"/>
              <w:jc w:val="center"/>
            </w:pPr>
            <w:r>
              <w:rPr>
                <w:rFonts w:ascii="Arial" w:cs="Arial" w:eastAsia="Arial" w:hAnsi="Arial"/>
                <w:b/>
                <w:bCs/>
                <w:caps w:val="false"/>
                <w:color w:val="FFFFFF"/>
                <w:sz w:val="16"/>
                <w:szCs w:val="16"/>
              </w:rPr>
              <w:t xml:space="preserve">Issue</w:t>
            </w:r>
          </w:p>
        </w:tc>
        <w:tc>
          <w:tcPr>
            <w:tcW w:type="dxa" w:w="3400"/>
            <w:tcBorders>
              <w:top w:val="single" w:color="0D1B2A" w:sz="4"/>
              <w:left w:val="single" w:color="0D1B2A" w:sz="4"/>
              <w:bottom w:val="single" w:color="0D1B2A" w:sz="4"/>
              <w:right w:val="single" w:color="0D1B2A" w:sz="4"/>
            </w:tcBorders>
            <w:shd w:fill="0D1B2A" w:val="clear"/>
            <w:tcMar>
              <w:top w:type="dxa" w:w="90"/>
              <w:left w:type="dxa" w:w="120"/>
              <w:bottom w:type="dxa" w:w="90"/>
              <w:right w:type="dxa" w:w="120"/>
            </w:tcMar>
            <w:vAlign w:val="center"/>
          </w:tcPr>
          <w:p>
            <w:pPr>
              <w:spacing w:after="80" w:before="0" w:line="276"/>
              <w:jc w:val="center"/>
            </w:pPr>
            <w:r>
              <w:rPr>
                <w:rFonts w:ascii="Arial" w:cs="Arial" w:eastAsia="Arial" w:hAnsi="Arial"/>
                <w:b/>
                <w:bCs/>
                <w:caps w:val="false"/>
                <w:color w:val="FFFFFF"/>
                <w:sz w:val="16"/>
                <w:szCs w:val="16"/>
              </w:rPr>
              <w:t xml:space="preserve">Recommended Fix</w:t>
            </w:r>
          </w:p>
        </w:tc>
        <w:tc>
          <w:tcPr>
            <w:tcW w:type="dxa" w:w="652"/>
            <w:tcBorders>
              <w:top w:val="single" w:color="0D1B2A" w:sz="4"/>
              <w:left w:val="single" w:color="0D1B2A" w:sz="4"/>
              <w:bottom w:val="single" w:color="0D1B2A" w:sz="4"/>
              <w:right w:val="single" w:color="0D1B2A" w:sz="4"/>
            </w:tcBorders>
            <w:shd w:fill="0D1B2A" w:val="clear"/>
            <w:tcMar>
              <w:top w:type="dxa" w:w="90"/>
              <w:left w:type="dxa" w:w="120"/>
              <w:bottom w:type="dxa" w:w="90"/>
              <w:right w:type="dxa" w:w="120"/>
            </w:tcMar>
            <w:vAlign w:val="center"/>
          </w:tcPr>
          <w:p>
            <w:pPr>
              <w:spacing w:after="80" w:before="0" w:line="276"/>
              <w:jc w:val="center"/>
            </w:pPr>
            <w:r>
              <w:rPr>
                <w:rFonts w:ascii="Arial" w:cs="Arial" w:eastAsia="Arial" w:hAnsi="Arial"/>
                <w:b/>
                <w:bCs/>
                <w:caps w:val="false"/>
                <w:color w:val="FFFFFF"/>
                <w:sz w:val="16"/>
                <w:szCs w:val="16"/>
              </w:rPr>
              <w:t xml:space="preserve">Priority</w:t>
            </w:r>
          </w:p>
        </w:tc>
      </w:tr>
      <w:tr>
        <w:tc>
          <w:tcPr>
            <w:tcW w:type="dxa" w:w="1400"/>
            <w:tcBorders>
              <w:top w:val="single" w:color="E8EBF0" w:sz="4"/>
              <w:left w:val="single" w:color="E8EBF0" w:sz="4"/>
              <w:bottom w:val="single" w:color="E8EBF0" w:sz="4"/>
              <w:right w:val="single" w:color="E8EBF0" w:sz="4"/>
            </w:tcBorders>
            <w:shd w:fill="F4F6F8" w:val="clear"/>
            <w:tcMar>
              <w:top w:type="dxa" w:w="88"/>
              <w:left w:type="dxa" w:w="120"/>
              <w:bottom w:type="dxa" w:w="88"/>
              <w:right w:type="dxa" w:w="120"/>
            </w:tcMar>
          </w:tcPr>
          <w:p>
            <w:pPr>
              <w:spacing w:after="80" w:before="0" w:line="280"/>
              <w:jc w:val="left"/>
            </w:pPr>
            <w:r>
              <w:rPr>
                <w:rFonts w:ascii="Arial" w:cs="Arial" w:eastAsia="Arial" w:hAnsi="Arial"/>
                <w:b/>
                <w:bCs/>
                <w:caps w:val="false"/>
                <w:color w:val="0D1B2A"/>
                <w:sz w:val="15"/>
                <w:szCs w:val="15"/>
              </w:rPr>
              <w:t xml:space="preserve">Variation (URGENT)</w:t>
            </w:r>
          </w:p>
        </w:tc>
        <w:tc>
          <w:tcPr>
            <w:tcW w:type="dxa" w:w="276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0F1111"/>
                <w:sz w:val="15"/>
                <w:szCs w:val="15"/>
              </w:rPr>
              <w:t xml:space="preserve">The 50ct child ASIN shows as 'Currently unavailable' in the variation selector. This is not a stockout — it indicates a suppressed child ASIN. Suppression fragments BSR between parent and child, breaks review inheritance (18 reviews split across two ASINs rather than consolidated), and reduces organic visibility. This is the highest-priority action on the account.</w:t>
            </w:r>
          </w:p>
        </w:tc>
        <w:tc>
          <w:tcPr>
            <w:tcW w:type="dxa" w:w="3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1A5276"/>
                <w:sz w:val="15"/>
                <w:szCs w:val="15"/>
              </w:rPr>
              <w:t xml:space="preserve">Open a Seller Central case immediately. Identify whether suppression is due to a content policy flag, catalogue error, or inventory issue. Restore or relist the child ASIN. Once both variants are live, consolidate reviews onto the parent via the Manage Your Experiments tool.</w:t>
            </w:r>
          </w:p>
        </w:tc>
        <w:tc>
          <w:tcPr>
            <w:tcW w:type="dxa" w:w="652"/>
            <w:tcBorders>
              <w:top w:val="single" w:color="E8EBF0" w:sz="4"/>
              <w:left w:val="single" w:color="E8EBF0" w:sz="4"/>
              <w:bottom w:val="single" w:color="E8EBF0" w:sz="4"/>
              <w:right w:val="single" w:color="E8EBF0" w:sz="4"/>
            </w:tcBorders>
            <w:shd w:fill="FDF2F2" w:val="clear"/>
            <w:tcMar>
              <w:top w:type="dxa" w:w="88"/>
              <w:left w:type="dxa" w:w="80"/>
              <w:bottom w:type="dxa" w:w="88"/>
              <w:right w:type="dxa" w:w="80"/>
            </w:tcMar>
            <w:vAlign w:val="center"/>
          </w:tcPr>
          <w:p>
            <w:pPr>
              <w:spacing w:after="80" w:before="0" w:line="276"/>
              <w:jc w:val="center"/>
            </w:pPr>
            <w:r>
              <w:rPr>
                <w:rFonts w:ascii="Arial" w:cs="Arial" w:eastAsia="Arial" w:hAnsi="Arial"/>
                <w:b/>
                <w:bCs/>
                <w:caps/>
                <w:color w:val="C0392B"/>
                <w:sz w:val="14"/>
                <w:szCs w:val="14"/>
              </w:rPr>
              <w:t xml:space="preserve">HIGH</w:t>
            </w:r>
          </w:p>
        </w:tc>
      </w:tr>
      <w:tr>
        <w:tc>
          <w:tcPr>
            <w:tcW w:type="dxa" w:w="1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0"/>
              <w:jc w:val="left"/>
            </w:pPr>
            <w:r>
              <w:rPr>
                <w:rFonts w:ascii="Arial" w:cs="Arial" w:eastAsia="Arial" w:hAnsi="Arial"/>
                <w:b/>
                <w:bCs/>
                <w:caps w:val="false"/>
                <w:color w:val="0D1B2A"/>
                <w:sz w:val="15"/>
                <w:szCs w:val="15"/>
              </w:rPr>
              <w:t xml:space="preserve">Title</w:t>
            </w:r>
          </w:p>
        </w:tc>
        <w:tc>
          <w:tcPr>
            <w:tcW w:type="dxa" w:w="276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0F1111"/>
                <w:sz w:val="15"/>
                <w:szCs w:val="15"/>
              </w:rPr>
              <w:t xml:space="preserve">'Zinc' appears 5 times across different phrasing: 'Brand X Zinc Tablets 25mg', 'Zinc Supplement', '90 Zinc Tablets', 'Daily Zinc Immune', 'Zinc Immune &amp;amp; Skin Health Supplement UK'. Each instance uses slightly different surrounding copy — it reads naturally at speed but is keyword-stuffed on close reading.</w:t>
            </w:r>
          </w:p>
        </w:tc>
        <w:tc>
          <w:tcPr>
            <w:tcW w:type="dxa" w:w="3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1A5276"/>
                <w:sz w:val="15"/>
                <w:szCs w:val="15"/>
              </w:rPr>
              <w:t xml:space="preserve">Rewrite with 'Zinc' appearing twice at most (once in brand/product name, once in descriptor). Target 120–150 characters: 'Brand X Zinc Citrate 25mg — 90 Tablets | Immune System, Skin &amp;amp; Testosterone Support | High Bioavailability | 3-Month Supply'.</w:t>
            </w:r>
          </w:p>
        </w:tc>
        <w:tc>
          <w:tcPr>
            <w:tcW w:type="dxa" w:w="652"/>
            <w:tcBorders>
              <w:top w:val="single" w:color="E8EBF0" w:sz="4"/>
              <w:left w:val="single" w:color="E8EBF0" w:sz="4"/>
              <w:bottom w:val="single" w:color="E8EBF0" w:sz="4"/>
              <w:right w:val="single" w:color="E8EBF0" w:sz="4"/>
            </w:tcBorders>
            <w:shd w:fill="FDF2F2" w:val="clear"/>
            <w:tcMar>
              <w:top w:type="dxa" w:w="88"/>
              <w:left w:type="dxa" w:w="80"/>
              <w:bottom w:type="dxa" w:w="88"/>
              <w:right w:type="dxa" w:w="80"/>
            </w:tcMar>
            <w:vAlign w:val="center"/>
          </w:tcPr>
          <w:p>
            <w:pPr>
              <w:spacing w:after="80" w:before="0" w:line="276"/>
              <w:jc w:val="center"/>
            </w:pPr>
            <w:r>
              <w:rPr>
                <w:rFonts w:ascii="Arial" w:cs="Arial" w:eastAsia="Arial" w:hAnsi="Arial"/>
                <w:b/>
                <w:bCs/>
                <w:caps/>
                <w:color w:val="C0392B"/>
                <w:sz w:val="14"/>
                <w:szCs w:val="14"/>
              </w:rPr>
              <w:t xml:space="preserve">HIGH</w:t>
            </w:r>
          </w:p>
        </w:tc>
      </w:tr>
      <w:tr>
        <w:tc>
          <w:tcPr>
            <w:tcW w:type="dxa" w:w="1400"/>
            <w:tcBorders>
              <w:top w:val="single" w:color="E8EBF0" w:sz="4"/>
              <w:left w:val="single" w:color="E8EBF0" w:sz="4"/>
              <w:bottom w:val="single" w:color="E8EBF0" w:sz="4"/>
              <w:right w:val="single" w:color="E8EBF0" w:sz="4"/>
            </w:tcBorders>
            <w:shd w:fill="F4F6F8" w:val="clear"/>
            <w:tcMar>
              <w:top w:type="dxa" w:w="88"/>
              <w:left w:type="dxa" w:w="120"/>
              <w:bottom w:type="dxa" w:w="88"/>
              <w:right w:type="dxa" w:w="120"/>
            </w:tcMar>
          </w:tcPr>
          <w:p>
            <w:pPr>
              <w:spacing w:after="80" w:before="0" w:line="280"/>
              <w:jc w:val="left"/>
            </w:pPr>
            <w:r>
              <w:rPr>
                <w:rFonts w:ascii="Arial" w:cs="Arial" w:eastAsia="Arial" w:hAnsi="Arial"/>
                <w:b/>
                <w:bCs/>
                <w:caps w:val="false"/>
                <w:color w:val="0D1B2A"/>
                <w:sz w:val="15"/>
                <w:szCs w:val="15"/>
              </w:rPr>
              <w:t xml:space="preserve">Bullet 1</w:t>
            </w:r>
          </w:p>
        </w:tc>
        <w:tc>
          <w:tcPr>
            <w:tcW w:type="dxa" w:w="276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0F1111"/>
                <w:sz w:val="15"/>
                <w:szCs w:val="15"/>
              </w:rPr>
              <w:t xml:space="preserve">States '25mg of zinc' without specifying the zinc compound form. 25mg refers to the compound weight — elemental zinc content differs significantly between forms (Zinc Citrate ~20% elemental; Zinc Oxide ~80% but much lower bioavailability). The form is the product's primary differentiator and USP, yet it is absent from every bullet point and from the A+ content.</w:t>
            </w:r>
          </w:p>
        </w:tc>
        <w:tc>
          <w:tcPr>
            <w:tcW w:type="dxa" w:w="3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1A5276"/>
                <w:sz w:val="15"/>
                <w:szCs w:val="15"/>
              </w:rPr>
              <w:t xml:space="preserve">Specify the form in Bullet 1 and in the A+ content. If Zinc Citrate: 'HIGH-BIOAVAILABILITY ZINC CITRATE — delivers Xmg elemental zinc per tablet using Citrate form for superior absorption vs Zinc Oxide. Contributes to normal immune system function (EU Reg 432/2012).'</w:t>
            </w:r>
          </w:p>
        </w:tc>
        <w:tc>
          <w:tcPr>
            <w:tcW w:type="dxa" w:w="652"/>
            <w:tcBorders>
              <w:top w:val="single" w:color="E8EBF0" w:sz="4"/>
              <w:left w:val="single" w:color="E8EBF0" w:sz="4"/>
              <w:bottom w:val="single" w:color="E8EBF0" w:sz="4"/>
              <w:right w:val="single" w:color="E8EBF0" w:sz="4"/>
            </w:tcBorders>
            <w:shd w:fill="FDF2F2" w:val="clear"/>
            <w:tcMar>
              <w:top w:type="dxa" w:w="88"/>
              <w:left w:type="dxa" w:w="80"/>
              <w:bottom w:type="dxa" w:w="88"/>
              <w:right w:type="dxa" w:w="80"/>
            </w:tcMar>
            <w:vAlign w:val="center"/>
          </w:tcPr>
          <w:p>
            <w:pPr>
              <w:spacing w:after="80" w:before="0" w:line="276"/>
              <w:jc w:val="center"/>
            </w:pPr>
            <w:r>
              <w:rPr>
                <w:rFonts w:ascii="Arial" w:cs="Arial" w:eastAsia="Arial" w:hAnsi="Arial"/>
                <w:b/>
                <w:bCs/>
                <w:caps/>
                <w:color w:val="C0392B"/>
                <w:sz w:val="14"/>
                <w:szCs w:val="14"/>
              </w:rPr>
              <w:t xml:space="preserve">HIGH</w:t>
            </w:r>
          </w:p>
        </w:tc>
      </w:tr>
      <w:tr>
        <w:tc>
          <w:tcPr>
            <w:tcW w:type="dxa" w:w="1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0"/>
              <w:jc w:val="left"/>
            </w:pPr>
            <w:r>
              <w:rPr>
                <w:rFonts w:ascii="Arial" w:cs="Arial" w:eastAsia="Arial" w:hAnsi="Arial"/>
                <w:b/>
                <w:bCs/>
                <w:caps w:val="false"/>
                <w:color w:val="0D1B2A"/>
                <w:sz w:val="15"/>
                <w:szCs w:val="15"/>
              </w:rPr>
              <w:t xml:space="preserve">Bullet 3</w:t>
            </w:r>
          </w:p>
        </w:tc>
        <w:tc>
          <w:tcPr>
            <w:tcW w:type="dxa" w:w="276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0F1111"/>
                <w:sz w:val="15"/>
                <w:szCs w:val="15"/>
              </w:rPr>
              <w:t xml:space="preserve">'SUITABLE FOR MOST PEOPLE — our zinc supplement is suitable for most adults as part of a balanced diet and healthy lifestyle' — filler copy with no purchase reason. The product description references testosterone support and DNA synthesis, both valid benefit claims, but neither appears in the bullets.</w:t>
            </w:r>
          </w:p>
        </w:tc>
        <w:tc>
          <w:tcPr>
            <w:tcW w:type="dxa" w:w="3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1A5276"/>
                <w:sz w:val="15"/>
                <w:szCs w:val="15"/>
              </w:rPr>
              <w:t xml:space="preserve">Replace with a specific second use-case bullet: testosterone, skin/hair, or DNA synthesis, each of which has an authorised EU Reg 432/2012 claim. Match the specificity of Bullet 2 ('contributes to the normal function of the immune system').</w:t>
            </w:r>
          </w:p>
        </w:tc>
        <w:tc>
          <w:tcPr>
            <w:tcW w:type="dxa" w:w="652"/>
            <w:tcBorders>
              <w:top w:val="single" w:color="E8EBF0" w:sz="4"/>
              <w:left w:val="single" w:color="E8EBF0" w:sz="4"/>
              <w:bottom w:val="single" w:color="E8EBF0" w:sz="4"/>
              <w:right w:val="single" w:color="E8EBF0" w:sz="4"/>
            </w:tcBorders>
            <w:shd w:fill="FDF5EC" w:val="clear"/>
            <w:tcMar>
              <w:top w:type="dxa" w:w="88"/>
              <w:left w:type="dxa" w:w="80"/>
              <w:bottom w:type="dxa" w:w="88"/>
              <w:right w:type="dxa" w:w="80"/>
            </w:tcMar>
            <w:vAlign w:val="center"/>
          </w:tcPr>
          <w:p>
            <w:pPr>
              <w:spacing w:after="80" w:before="0" w:line="276"/>
              <w:jc w:val="center"/>
            </w:pPr>
            <w:r>
              <w:rPr>
                <w:rFonts w:ascii="Arial" w:cs="Arial" w:eastAsia="Arial" w:hAnsi="Arial"/>
                <w:b/>
                <w:bCs/>
                <w:caps/>
                <w:color w:val="D35400"/>
                <w:sz w:val="14"/>
                <w:szCs w:val="14"/>
              </w:rPr>
              <w:t xml:space="preserve">MEDIUM</w:t>
            </w:r>
          </w:p>
        </w:tc>
      </w:tr>
      <w:tr>
        <w:tc>
          <w:tcPr>
            <w:tcW w:type="dxa" w:w="1400"/>
            <w:tcBorders>
              <w:top w:val="single" w:color="E8EBF0" w:sz="4"/>
              <w:left w:val="single" w:color="E8EBF0" w:sz="4"/>
              <w:bottom w:val="single" w:color="E8EBF0" w:sz="4"/>
              <w:right w:val="single" w:color="E8EBF0" w:sz="4"/>
            </w:tcBorders>
            <w:shd w:fill="F4F6F8" w:val="clear"/>
            <w:tcMar>
              <w:top w:type="dxa" w:w="88"/>
              <w:left w:type="dxa" w:w="120"/>
              <w:bottom w:type="dxa" w:w="88"/>
              <w:right w:type="dxa" w:w="120"/>
            </w:tcMar>
          </w:tcPr>
          <w:p>
            <w:pPr>
              <w:spacing w:after="80" w:before="0" w:line="280"/>
              <w:jc w:val="left"/>
            </w:pPr>
            <w:r>
              <w:rPr>
                <w:rFonts w:ascii="Arial" w:cs="Arial" w:eastAsia="Arial" w:hAnsi="Arial"/>
                <w:b/>
                <w:bCs/>
                <w:caps w:val="false"/>
                <w:color w:val="0D1B2A"/>
                <w:sz w:val="15"/>
                <w:szCs w:val="15"/>
              </w:rPr>
              <w:t xml:space="preserve">A+ Content</w:t>
            </w:r>
          </w:p>
        </w:tc>
        <w:tc>
          <w:tcPr>
            <w:tcW w:type="dxa" w:w="276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0F1111"/>
                <w:sz w:val="15"/>
                <w:szCs w:val="15"/>
              </w:rPr>
              <w:t xml:space="preserve">The comparison table benchmarks against 'No Supplement' — this compares the product against not taking anything at all, rather than against competing zinc products. It provides no competitive differentiation to a buyer choosing between supplement brands. The zinc compound form — the primary USP — is entirely absent from the A+ content.</w:t>
            </w:r>
          </w:p>
        </w:tc>
        <w:tc>
          <w:tcPr>
            <w:tcW w:type="dxa" w:w="3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1A5276"/>
                <w:sz w:val="15"/>
                <w:szCs w:val="15"/>
              </w:rPr>
              <w:t xml:space="preserve">Rebuild comparison table: Brand X Zinc Citrate vs generic Zinc Oxide. Compare on elemental zinc content, bioavailability, form, and additional benefit claims. Add a module specifically on zinc form and absorption mechanism.</w:t>
            </w:r>
          </w:p>
        </w:tc>
        <w:tc>
          <w:tcPr>
            <w:tcW w:type="dxa" w:w="652"/>
            <w:tcBorders>
              <w:top w:val="single" w:color="E8EBF0" w:sz="4"/>
              <w:left w:val="single" w:color="E8EBF0" w:sz="4"/>
              <w:bottom w:val="single" w:color="E8EBF0" w:sz="4"/>
              <w:right w:val="single" w:color="E8EBF0" w:sz="4"/>
            </w:tcBorders>
            <w:shd w:fill="FDF5EC" w:val="clear"/>
            <w:tcMar>
              <w:top w:type="dxa" w:w="88"/>
              <w:left w:type="dxa" w:w="80"/>
              <w:bottom w:type="dxa" w:w="88"/>
              <w:right w:type="dxa" w:w="80"/>
            </w:tcMar>
            <w:vAlign w:val="center"/>
          </w:tcPr>
          <w:p>
            <w:pPr>
              <w:spacing w:after="80" w:before="0" w:line="276"/>
              <w:jc w:val="center"/>
            </w:pPr>
            <w:r>
              <w:rPr>
                <w:rFonts w:ascii="Arial" w:cs="Arial" w:eastAsia="Arial" w:hAnsi="Arial"/>
                <w:b/>
                <w:bCs/>
                <w:caps/>
                <w:color w:val="D35400"/>
                <w:sz w:val="14"/>
                <w:szCs w:val="14"/>
              </w:rPr>
              <w:t xml:space="preserve">MEDIUM</w:t>
            </w:r>
          </w:p>
        </w:tc>
      </w:tr>
      <w:tr>
        <w:tc>
          <w:tcPr>
            <w:tcW w:type="dxa" w:w="1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0"/>
              <w:jc w:val="left"/>
            </w:pPr>
            <w:r>
              <w:rPr>
                <w:rFonts w:ascii="Arial" w:cs="Arial" w:eastAsia="Arial" w:hAnsi="Arial"/>
                <w:b/>
                <w:bCs/>
                <w:caps w:val="false"/>
                <w:color w:val="0D1B2A"/>
                <w:sz w:val="15"/>
                <w:szCs w:val="15"/>
              </w:rPr>
              <w:t xml:space="preserve">Reviews</w:t>
            </w:r>
          </w:p>
        </w:tc>
        <w:tc>
          <w:tcPr>
            <w:tcW w:type="dxa" w:w="276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0F1111"/>
                <w:sz w:val="15"/>
                <w:szCs w:val="15"/>
              </w:rPr>
              <w:t xml:space="preserve">18 ratings after approximately 6 weeks on sale, BSR #18,944. The review count is disproportionately low relative to the implied sales velocity at this BSR — suggesting reviews are split between the suppressed and active ASINs, or that the product has not been enrolled in any review-generation programme.</w:t>
            </w:r>
          </w:p>
        </w:tc>
        <w:tc>
          <w:tcPr>
            <w:tcW w:type="dxa" w:w="3400"/>
            <w:tcBorders>
              <w:top w:val="single" w:color="E8EBF0" w:sz="4"/>
              <w:left w:val="single" w:color="E8EBF0" w:sz="4"/>
              <w:bottom w:val="single" w:color="E8EBF0" w:sz="4"/>
              <w:right w:val="single" w:color="E8EBF0" w:sz="4"/>
            </w:tcBorders>
            <w:shd w:fill="FFFFFF" w:val="clear"/>
            <w:tcMar>
              <w:top w:type="dxa" w:w="88"/>
              <w:left w:type="dxa" w:w="120"/>
              <w:bottom w:type="dxa" w:w="88"/>
              <w:right w:type="dxa" w:w="120"/>
            </w:tcMar>
          </w:tcPr>
          <w:p>
            <w:pPr>
              <w:spacing w:after="80" w:before="0" w:line="282"/>
              <w:jc w:val="left"/>
            </w:pPr>
            <w:r>
              <w:rPr>
                <w:rFonts w:ascii="Arial" w:cs="Arial" w:eastAsia="Arial" w:hAnsi="Arial"/>
                <w:b w:val="false"/>
                <w:bCs w:val="false"/>
                <w:caps w:val="false"/>
                <w:color w:val="1A5276"/>
                <w:sz w:val="15"/>
                <w:szCs w:val="15"/>
              </w:rPr>
              <w:t xml:space="preserve">Enrol the 90ct ASIN in Amazon Vine immediately (up to 30 units). Once the 50ct variation is restored, enrol that ASIN separately. Review velocity is critical for organic rank recovery on a product with ranks of 24/31/40.</w:t>
            </w:r>
          </w:p>
        </w:tc>
        <w:tc>
          <w:tcPr>
            <w:tcW w:type="dxa" w:w="652"/>
            <w:tcBorders>
              <w:top w:val="single" w:color="E8EBF0" w:sz="4"/>
              <w:left w:val="single" w:color="E8EBF0" w:sz="4"/>
              <w:bottom w:val="single" w:color="E8EBF0" w:sz="4"/>
              <w:right w:val="single" w:color="E8EBF0" w:sz="4"/>
            </w:tcBorders>
            <w:shd w:fill="FDF5EC" w:val="clear"/>
            <w:tcMar>
              <w:top w:type="dxa" w:w="88"/>
              <w:left w:type="dxa" w:w="80"/>
              <w:bottom w:type="dxa" w:w="88"/>
              <w:right w:type="dxa" w:w="80"/>
            </w:tcMar>
            <w:vAlign w:val="center"/>
          </w:tcPr>
          <w:p>
            <w:pPr>
              <w:spacing w:after="80" w:before="0" w:line="276"/>
              <w:jc w:val="center"/>
            </w:pPr>
            <w:r>
              <w:rPr>
                <w:rFonts w:ascii="Arial" w:cs="Arial" w:eastAsia="Arial" w:hAnsi="Arial"/>
                <w:b/>
                <w:bCs/>
                <w:caps/>
                <w:color w:val="D35400"/>
                <w:sz w:val="14"/>
                <w:szCs w:val="14"/>
              </w:rPr>
              <w:t xml:space="preserve">MEDIUM</w:t>
            </w:r>
          </w:p>
        </w:tc>
      </w:tr>
    </w:tbl>
    <w:p>
      <w:pPr>
        <w:spacing w:after="160" w:before="0" w:line="276"/>
        <w:jc w:val="left"/>
      </w:pPr>
      <w:r>
        <w:rPr>
          <w:rFonts w:ascii="Arial" w:cs="Arial" w:eastAsia="Arial" w:hAnsi="Arial"/>
          <w:b w:val="false"/>
          <w:bCs w:val="false"/>
          <w:caps w:val="false"/>
          <w:color w:val="0F1111"/>
          <w:sz w:val="18"/>
          <w:szCs w:val="18"/>
        </w:rPr>
        <w:t xml:space="preserve"/>
      </w:r>
    </w:p>
    <w:tbl>
      <w:tblPr>
        <w:tblW w:type="dxa" w:w="9212"/>
        <w:tblBorders>
          <w:top w:val="single" w:color="auto" w:sz="4"/>
          <w:left w:val="single" w:color="auto" w:sz="4"/>
          <w:bottom w:val="single" w:color="auto" w:sz="4"/>
          <w:right w:val="single" w:color="auto" w:sz="4"/>
          <w:insideH w:val="single" w:color="auto" w:sz="4"/>
          <w:insideV w:val="single" w:color="auto" w:sz="4"/>
        </w:tblBorders>
      </w:tblPr>
      <w:tblGrid>
        <w:gridCol w:w="240"/>
        <w:gridCol w:w="8972"/>
      </w:tblGrid>
      <w:tr>
        <w:tc>
          <w:tcPr>
            <w:tcW w:type="dxa" w:w="240"/>
            <w:tcBorders>
              <w:top w:val="none"/>
              <w:left w:val="none"/>
              <w:bottom w:val="none"/>
              <w:right w:val="none"/>
            </w:tcBorders>
            <w:shd w:fill="C0392B" w:val="clear"/>
            <w:tcMar>
              <w:top w:type="dxa" w:w="0"/>
              <w:left w:type="dxa" w:w="0"/>
              <w:bottom w:type="dxa" w:w="0"/>
              <w:right w:type="dxa" w:w="0"/>
            </w:tcMar>
          </w:tcPr>
          <w:p>
            <w:pPr>
              <w:spacing w:after="80" w:before="0" w:line="276"/>
              <w:jc w:val="left"/>
            </w:pPr>
            <w:r>
              <w:rPr>
                <w:rFonts w:ascii="Arial" w:cs="Arial" w:eastAsia="Arial" w:hAnsi="Arial"/>
                <w:b w:val="false"/>
                <w:bCs w:val="false"/>
                <w:caps w:val="false"/>
                <w:color w:val="0F1111"/>
                <w:sz w:val="18"/>
                <w:szCs w:val="18"/>
              </w:rPr>
              <w:t xml:space="preserve"/>
            </w:r>
          </w:p>
        </w:tc>
        <w:tc>
          <w:tcPr>
            <w:tcW w:type="dxa" w:w="8972"/>
            <w:tcBorders>
              <w:top w:val="single" w:color="E8EBF0" w:sz="4"/>
              <w:left w:val="none"/>
              <w:bottom w:val="single" w:color="E8EBF0" w:sz="4"/>
              <w:right w:val="single" w:color="E8EBF0" w:sz="4"/>
            </w:tcBorders>
            <w:shd w:fill="F4F6F8" w:val="clear"/>
            <w:tcMar>
              <w:top w:type="dxa" w:w="120"/>
              <w:left w:type="dxa" w:w="160"/>
              <w:bottom w:type="dxa" w:w="120"/>
              <w:right w:type="dxa" w:w="160"/>
            </w:tcMar>
          </w:tcPr>
          <w:p>
            <w:pPr>
              <w:spacing w:after="50" w:before="0" w:line="276"/>
              <w:jc w:val="left"/>
            </w:pPr>
            <w:r>
              <w:rPr>
                <w:rFonts w:ascii="Arial" w:cs="Arial" w:eastAsia="Arial" w:hAnsi="Arial"/>
                <w:b/>
                <w:bCs/>
                <w:caps w:val="false"/>
                <w:color w:val="0D1B2A"/>
                <w:sz w:val="16"/>
                <w:szCs w:val="16"/>
              </w:rPr>
              <w:t xml:space="preserve">Priority Summary — BX-012</w:t>
            </w:r>
          </w:p>
          <w:p>
            <w:pPr>
              <w:spacing w:after="80" w:before="0" w:line="288"/>
              <w:jc w:val="left"/>
            </w:pPr>
            <w:r>
              <w:rPr>
                <w:rFonts w:ascii="Arial" w:cs="Arial" w:eastAsia="Arial" w:hAnsi="Arial"/>
                <w:b w:val="false"/>
                <w:bCs w:val="false"/>
                <w:caps w:val="false"/>
                <w:color w:val="0F1111"/>
                <w:sz w:val="16"/>
                <w:szCs w:val="16"/>
              </w:rPr>
              <w:t xml:space="preserve">3 HIGH priority issues identified. Target completion: within 7 days of report issue. Current CVR 5.8% is 7.5pp below account average (13.3%).</w:t>
            </w:r>
          </w:p>
        </w:tc>
      </w:tr>
    </w:tbl>
    <w:p>
      <w:pPr>
        <w:spacing w:after="200" w:before="0" w:line="276"/>
        <w:jc w:val="left"/>
      </w:pPr>
      <w:r>
        <w:rPr>
          <w:rFonts w:ascii="Arial" w:cs="Arial" w:eastAsia="Arial" w:hAnsi="Arial"/>
          <w:b w:val="false"/>
          <w:bCs w:val="false"/>
          <w:caps w:val="false"/>
          <w:color w:val="0F1111"/>
          <w:sz w:val="18"/>
          <w:szCs w:val="18"/>
        </w:rPr>
        <w:t xml:space="preserve"/>
      </w:r>
    </w:p>
    <w:p>
      <w:r>
        <w:br w:type="page"/>
      </w:r>
    </w:p>
    <w:p>
      <w:pPr>
        <w:spacing w:after="80" w:before="0" w:line="276"/>
        <w:jc w:val="left"/>
      </w:pPr>
      <w:r>
        <w:rPr>
          <w:rFonts w:ascii="Arial" w:cs="Arial" w:eastAsia="Arial" w:hAnsi="Arial"/>
          <w:b w:val="false"/>
          <w:bCs w:val="false"/>
          <w:caps w:val="false"/>
          <w:color w:val="0F1111"/>
          <w:sz w:val="18"/>
          <w:szCs w:val="18"/>
        </w:rPr>
        <w:t xml:space="preserve"/>
      </w:r>
    </w:p>
    <w:p>
      <w:pPr>
        <w:spacing w:after="40" w:before="0" w:line="276"/>
        <w:jc w:val="left"/>
      </w:pPr>
      <w:r>
        <w:rPr>
          <w:rFonts w:ascii="Arial" w:cs="Arial" w:eastAsia="Arial" w:hAnsi="Arial"/>
          <w:b/>
          <w:bCs/>
          <w:caps/>
          <w:color w:val="C0392B"/>
          <w:sz w:val="14"/>
          <w:szCs w:val="14"/>
        </w:rPr>
        <w:t xml:space="preserve">SECTION 05</w:t>
      </w:r>
    </w:p>
    <w:p>
      <w:pPr>
        <w:spacing w:after="80" w:before="0" w:line="276"/>
        <w:jc w:val="left"/>
      </w:pPr>
      <w:r>
        <w:rPr>
          <w:rFonts w:ascii="Arial" w:cs="Arial" w:eastAsia="Arial" w:hAnsi="Arial"/>
          <w:b/>
          <w:bCs/>
          <w:caps w:val="false"/>
          <w:color w:val="0D1B2A"/>
          <w:sz w:val="28"/>
          <w:szCs w:val="28"/>
        </w:rPr>
        <w:t xml:space="preserve">Best Practices Reference</w:t>
      </w:r>
    </w:p>
    <w:p>
      <w:pPr>
        <w:pBdr>
          <w:bottom w:val="single" w:color="C0392B" w:sz="10" w:space="6"/>
        </w:pBdr>
        <w:spacing w:after="180" w:before="0" w:line="276"/>
        <w:jc w:val="left"/>
      </w:pPr>
      <w:r>
        <w:rPr>
          <w:rFonts w:ascii="Arial" w:cs="Arial" w:eastAsia="Arial" w:hAnsi="Arial"/>
          <w:b w:val="false"/>
          <w:bCs w:val="false"/>
          <w:caps w:val="false"/>
          <w:color w:val="0F1111"/>
          <w:sz w:val="18"/>
          <w:szCs w:val="18"/>
        </w:rPr>
        <w:t xml:space="preserve"/>
      </w:r>
    </w:p>
    <w:p>
      <w:pPr>
        <w:spacing w:after="60" w:before="160" w:line="276"/>
        <w:jc w:val="left"/>
      </w:pPr>
      <w:r>
        <w:rPr>
          <w:rFonts w:ascii="Arial" w:cs="Arial" w:eastAsia="Arial" w:hAnsi="Arial"/>
          <w:b/>
          <w:bCs/>
          <w:caps w:val="false"/>
          <w:color w:val="0D1B2A"/>
          <w:sz w:val="18"/>
          <w:szCs w:val="18"/>
        </w:rPr>
        <w:t xml:space="preserve">Title Guidelines</w:t>
      </w:r>
    </w:p>
    <w:p>
      <w:pPr>
        <w:pStyle w:val="ListParagraph"/>
        <w:numPr>
          <w:ilvl w:val="0"/>
          <w:numId w:val="2"/>
        </w:numPr>
        <w:spacing w:after="55"/>
      </w:pPr>
      <w:r>
        <w:rPr>
          <w:rFonts w:ascii="Arial" w:cs="Arial" w:eastAsia="Arial" w:hAnsi="Arial"/>
          <w:b w:val="false"/>
          <w:bCs w:val="false"/>
          <w:caps w:val="false"/>
          <w:color w:val="0F1111"/>
          <w:sz w:val="17"/>
          <w:szCs w:val="17"/>
        </w:rPr>
        <w:t xml:space="preserve">80–150 characters. First 80 characters display on all devices — mobile-first</w:t>
      </w:r>
    </w:p>
    <w:p>
      <w:pPr>
        <w:pStyle w:val="ListParagraph"/>
        <w:numPr>
          <w:ilvl w:val="0"/>
          <w:numId w:val="2"/>
        </w:numPr>
        <w:spacing w:after="55"/>
      </w:pPr>
      <w:r>
        <w:rPr>
          <w:rFonts w:ascii="Arial" w:cs="Arial" w:eastAsia="Arial" w:hAnsi="Arial"/>
          <w:b w:val="false"/>
          <w:bCs w:val="false"/>
          <w:caps w:val="false"/>
          <w:color w:val="0F1111"/>
          <w:sz w:val="17"/>
          <w:szCs w:val="17"/>
        </w:rPr>
        <w:t xml:space="preserve">Lead with format + key differentiator. Each keyword used once only</w:t>
      </w:r>
    </w:p>
    <w:p>
      <w:pPr>
        <w:pStyle w:val="ListParagraph"/>
        <w:numPr>
          <w:ilvl w:val="0"/>
          <w:numId w:val="2"/>
        </w:numPr>
        <w:spacing w:after="55"/>
      </w:pPr>
      <w:r>
        <w:rPr>
          <w:rFonts w:ascii="Arial" w:cs="Arial" w:eastAsia="Arial" w:hAnsi="Arial"/>
          <w:b w:val="false"/>
          <w:bCs w:val="false"/>
          <w:caps w:val="false"/>
          <w:color w:val="0F1111"/>
          <w:sz w:val="17"/>
          <w:szCs w:val="17"/>
        </w:rPr>
        <w:t xml:space="preserve">Never repeat any keyword. Prohibited phrases: 'Best', '#1', 'Cheapest', 'Cure', 'Treat'</w:t>
      </w:r>
    </w:p>
    <w:p>
      <w:pPr>
        <w:pStyle w:val="ListParagraph"/>
        <w:numPr>
          <w:ilvl w:val="0"/>
          <w:numId w:val="2"/>
        </w:numPr>
        <w:spacing w:after="55"/>
      </w:pPr>
      <w:r>
        <w:rPr>
          <w:rFonts w:ascii="Arial" w:cs="Arial" w:eastAsia="Arial" w:hAnsi="Arial"/>
          <w:b w:val="false"/>
          <w:bCs w:val="false"/>
          <w:caps w:val="false"/>
          <w:color w:val="0F1111"/>
          <w:sz w:val="17"/>
          <w:szCs w:val="17"/>
        </w:rPr>
        <w:t xml:space="preserve">Structure: Brand · Form · Count · Primary Benefit · Market</w:t>
      </w:r>
    </w:p>
    <w:p>
      <w:pPr>
        <w:spacing w:after="40" w:before="0" w:line="276"/>
        <w:jc w:val="left"/>
      </w:pPr>
      <w:r>
        <w:rPr>
          <w:rFonts w:ascii="Arial" w:cs="Arial" w:eastAsia="Arial" w:hAnsi="Arial"/>
          <w:b w:val="false"/>
          <w:bCs w:val="false"/>
          <w:caps w:val="false"/>
          <w:color w:val="0F1111"/>
          <w:sz w:val="18"/>
          <w:szCs w:val="18"/>
        </w:rPr>
        <w:t xml:space="preserve"/>
      </w:r>
    </w:p>
    <w:p>
      <w:pPr>
        <w:spacing w:after="60" w:before="160" w:line="276"/>
        <w:jc w:val="left"/>
      </w:pPr>
      <w:r>
        <w:rPr>
          <w:rFonts w:ascii="Arial" w:cs="Arial" w:eastAsia="Arial" w:hAnsi="Arial"/>
          <w:b/>
          <w:bCs/>
          <w:caps w:val="false"/>
          <w:color w:val="0D1B2A"/>
          <w:sz w:val="18"/>
          <w:szCs w:val="18"/>
        </w:rPr>
        <w:t xml:space="preserve">Bullet Point Guidelines</w:t>
      </w:r>
    </w:p>
    <w:p>
      <w:pPr>
        <w:pStyle w:val="ListParagraph"/>
        <w:numPr>
          <w:ilvl w:val="0"/>
          <w:numId w:val="2"/>
        </w:numPr>
        <w:spacing w:after="55"/>
      </w:pPr>
      <w:r>
        <w:rPr>
          <w:rFonts w:ascii="Arial" w:cs="Arial" w:eastAsia="Arial" w:hAnsi="Arial"/>
          <w:b w:val="false"/>
          <w:bCs w:val="false"/>
          <w:caps w:val="false"/>
          <w:color w:val="0F1111"/>
          <w:sz w:val="17"/>
          <w:szCs w:val="17"/>
        </w:rPr>
        <w:t xml:space="preserve">Use all 5 available slots — each is a conversion and indexing opportunity</w:t>
      </w:r>
    </w:p>
    <w:p>
      <w:pPr>
        <w:pStyle w:val="ListParagraph"/>
        <w:numPr>
          <w:ilvl w:val="0"/>
          <w:numId w:val="2"/>
        </w:numPr>
        <w:spacing w:after="55"/>
      </w:pPr>
      <w:r>
        <w:rPr>
          <w:rFonts w:ascii="Arial" w:cs="Arial" w:eastAsia="Arial" w:hAnsi="Arial"/>
          <w:b w:val="false"/>
          <w:bCs w:val="false"/>
          <w:caps w:val="false"/>
          <w:color w:val="0F1111"/>
          <w:sz w:val="17"/>
          <w:szCs w:val="17"/>
        </w:rPr>
        <w:t xml:space="preserve">Open each bullet with a bold ALL-CAPS hook, then a specific measurable claim</w:t>
      </w:r>
    </w:p>
    <w:p>
      <w:pPr>
        <w:pStyle w:val="ListParagraph"/>
        <w:numPr>
          <w:ilvl w:val="0"/>
          <w:numId w:val="2"/>
        </w:numPr>
        <w:spacing w:after="55"/>
      </w:pPr>
      <w:r>
        <w:rPr>
          <w:rFonts w:ascii="Arial" w:cs="Arial" w:eastAsia="Arial" w:hAnsi="Arial"/>
          <w:b w:val="false"/>
          <w:bCs w:val="false"/>
          <w:caps w:val="false"/>
          <w:color w:val="0F1111"/>
          <w:sz w:val="17"/>
          <w:szCs w:val="17"/>
        </w:rPr>
        <w:t xml:space="preserve">No vague wellness language. All health claims must reference EU Reg 432/2012 or equivalent</w:t>
      </w:r>
    </w:p>
    <w:p>
      <w:pPr>
        <w:pStyle w:val="ListParagraph"/>
        <w:numPr>
          <w:ilvl w:val="0"/>
          <w:numId w:val="2"/>
        </w:numPr>
        <w:spacing w:after="55"/>
      </w:pPr>
      <w:r>
        <w:rPr>
          <w:rFonts w:ascii="Arial" w:cs="Arial" w:eastAsia="Arial" w:hAnsi="Arial"/>
          <w:b w:val="false"/>
          <w:bCs w:val="false"/>
          <w:caps w:val="false"/>
          <w:color w:val="0F1111"/>
          <w:sz w:val="17"/>
          <w:szCs w:val="17"/>
        </w:rPr>
        <w:t xml:space="preserve">150–250 characters per bullet. Each bullet covers a distinct benefit or trust signal</w:t>
      </w:r>
    </w:p>
    <w:p>
      <w:pPr>
        <w:spacing w:after="40" w:before="0" w:line="276"/>
        <w:jc w:val="left"/>
      </w:pPr>
      <w:r>
        <w:rPr>
          <w:rFonts w:ascii="Arial" w:cs="Arial" w:eastAsia="Arial" w:hAnsi="Arial"/>
          <w:b w:val="false"/>
          <w:bCs w:val="false"/>
          <w:caps w:val="false"/>
          <w:color w:val="0F1111"/>
          <w:sz w:val="18"/>
          <w:szCs w:val="18"/>
        </w:rPr>
        <w:t xml:space="preserve"/>
      </w:r>
    </w:p>
    <w:p>
      <w:pPr>
        <w:spacing w:after="60" w:before="160" w:line="276"/>
        <w:jc w:val="left"/>
      </w:pPr>
      <w:r>
        <w:rPr>
          <w:rFonts w:ascii="Arial" w:cs="Arial" w:eastAsia="Arial" w:hAnsi="Arial"/>
          <w:b/>
          <w:bCs/>
          <w:caps w:val="false"/>
          <w:color w:val="0D1B2A"/>
          <w:sz w:val="18"/>
          <w:szCs w:val="18"/>
        </w:rPr>
        <w:t xml:space="preserve">A+ Content Guidelines</w:t>
      </w:r>
    </w:p>
    <w:p>
      <w:pPr>
        <w:pStyle w:val="ListParagraph"/>
        <w:numPr>
          <w:ilvl w:val="0"/>
          <w:numId w:val="2"/>
        </w:numPr>
        <w:spacing w:after="55"/>
      </w:pPr>
      <w:r>
        <w:rPr>
          <w:rFonts w:ascii="Arial" w:cs="Arial" w:eastAsia="Arial" w:hAnsi="Arial"/>
          <w:b w:val="false"/>
          <w:bCs w:val="false"/>
          <w:caps w:val="false"/>
          <w:color w:val="0F1111"/>
          <w:sz w:val="17"/>
          <w:szCs w:val="17"/>
        </w:rPr>
        <w:t xml:space="preserve">Minimum 5 modules: Brand Story, Hero Benefits, Ingredient Science, Comparison Chart, Usage Guide</w:t>
      </w:r>
    </w:p>
    <w:p>
      <w:pPr>
        <w:pStyle w:val="ListParagraph"/>
        <w:numPr>
          <w:ilvl w:val="0"/>
          <w:numId w:val="2"/>
        </w:numPr>
        <w:spacing w:after="55"/>
      </w:pPr>
      <w:r>
        <w:rPr>
          <w:rFonts w:ascii="Arial" w:cs="Arial" w:eastAsia="Arial" w:hAnsi="Arial"/>
          <w:b w:val="false"/>
          <w:bCs w:val="false"/>
          <w:caps w:val="false"/>
          <w:color w:val="0F1111"/>
          <w:sz w:val="17"/>
          <w:szCs w:val="17"/>
        </w:rPr>
        <w:t xml:space="preserve">Comparison chart: compare against your own range or specific product attributes — never against vague categories ('standard' products, 'no supplement')</w:t>
      </w:r>
    </w:p>
    <w:p>
      <w:pPr>
        <w:pStyle w:val="ListParagraph"/>
        <w:numPr>
          <w:ilvl w:val="0"/>
          <w:numId w:val="2"/>
        </w:numPr>
        <w:spacing w:after="55"/>
      </w:pPr>
      <w:r>
        <w:rPr>
          <w:rFonts w:ascii="Arial" w:cs="Arial" w:eastAsia="Arial" w:hAnsi="Arial"/>
          <w:b w:val="false"/>
          <w:bCs w:val="false"/>
          <w:caps w:val="false"/>
          <w:color w:val="0F1111"/>
          <w:sz w:val="17"/>
          <w:szCs w:val="17"/>
        </w:rPr>
        <w:t xml:space="preserve">All images: minimum 970px wide. Design for mobile — 60%+ of traffic is on mobile</w:t>
      </w:r>
    </w:p>
    <w:p>
      <w:pPr>
        <w:spacing w:after="40" w:before="0" w:line="276"/>
        <w:jc w:val="left"/>
      </w:pPr>
      <w:r>
        <w:rPr>
          <w:rFonts w:ascii="Arial" w:cs="Arial" w:eastAsia="Arial" w:hAnsi="Arial"/>
          <w:b w:val="false"/>
          <w:bCs w:val="false"/>
          <w:caps w:val="false"/>
          <w:color w:val="0F1111"/>
          <w:sz w:val="18"/>
          <w:szCs w:val="18"/>
        </w:rPr>
        <w:t xml:space="preserve"/>
      </w:r>
    </w:p>
    <w:p>
      <w:pPr>
        <w:spacing w:after="60" w:before="160" w:line="276"/>
        <w:jc w:val="left"/>
      </w:pPr>
      <w:r>
        <w:rPr>
          <w:rFonts w:ascii="Arial" w:cs="Arial" w:eastAsia="Arial" w:hAnsi="Arial"/>
          <w:b/>
          <w:bCs/>
          <w:caps w:val="false"/>
          <w:color w:val="0D1B2A"/>
          <w:sz w:val="18"/>
          <w:szCs w:val="18"/>
        </w:rPr>
        <w:t xml:space="preserve">Backend Search Terms</w:t>
      </w:r>
    </w:p>
    <w:p>
      <w:pPr>
        <w:pStyle w:val="ListParagraph"/>
        <w:numPr>
          <w:ilvl w:val="0"/>
          <w:numId w:val="2"/>
        </w:numPr>
        <w:spacing w:after="55"/>
      </w:pPr>
      <w:r>
        <w:rPr>
          <w:rFonts w:ascii="Arial" w:cs="Arial" w:eastAsia="Arial" w:hAnsi="Arial"/>
          <w:b w:val="false"/>
          <w:bCs w:val="false"/>
          <w:caps w:val="false"/>
          <w:color w:val="0F1111"/>
          <w:sz w:val="17"/>
          <w:szCs w:val="17"/>
        </w:rPr>
        <w:t xml:space="preserve">250 bytes per marketplace. UK and US are separate fields</w:t>
      </w:r>
    </w:p>
    <w:p>
      <w:pPr>
        <w:pStyle w:val="ListParagraph"/>
        <w:numPr>
          <w:ilvl w:val="0"/>
          <w:numId w:val="2"/>
        </w:numPr>
        <w:spacing w:after="55"/>
      </w:pPr>
      <w:r>
        <w:rPr>
          <w:rFonts w:ascii="Arial" w:cs="Arial" w:eastAsia="Arial" w:hAnsi="Arial"/>
          <w:b w:val="false"/>
          <w:bCs w:val="false"/>
          <w:caps w:val="false"/>
          <w:color w:val="0F1111"/>
          <w:sz w:val="17"/>
          <w:szCs w:val="17"/>
        </w:rPr>
        <w:t xml:space="preserve">Never duplicate terms already in your title or bullets — wasted allowance</w:t>
      </w:r>
    </w:p>
    <w:p>
      <w:pPr>
        <w:pStyle w:val="ListParagraph"/>
        <w:numPr>
          <w:ilvl w:val="0"/>
          <w:numId w:val="2"/>
        </w:numPr>
        <w:spacing w:after="55"/>
      </w:pPr>
      <w:r>
        <w:rPr>
          <w:rFonts w:ascii="Arial" w:cs="Arial" w:eastAsia="Arial" w:hAnsi="Arial"/>
          <w:b w:val="false"/>
          <w:bCs w:val="false"/>
          <w:caps w:val="false"/>
          <w:color w:val="0F1111"/>
          <w:sz w:val="17"/>
          <w:szCs w:val="17"/>
        </w:rPr>
        <w:t xml:space="preserve">Include: long-tail variants, form-specific searches, complementary queries, common misspellings</w:t>
      </w:r>
    </w:p>
    <w:p>
      <w:pPr>
        <w:spacing w:after="200" w:before="0" w:line="276"/>
        <w:jc w:val="left"/>
      </w:pPr>
      <w:r>
        <w:rPr>
          <w:rFonts w:ascii="Arial" w:cs="Arial" w:eastAsia="Arial" w:hAnsi="Arial"/>
          <w:b w:val="false"/>
          <w:bCs w:val="false"/>
          <w:caps w:val="false"/>
          <w:color w:val="0F1111"/>
          <w:sz w:val="18"/>
          <w:szCs w:val="18"/>
        </w:rPr>
        <w:t xml:space="preserve"/>
      </w:r>
    </w:p>
    <w:tbl>
      <w:tblPr>
        <w:tblW w:type="dxa" w:w="9212"/>
        <w:tblBorders>
          <w:top w:val="single" w:color="auto" w:sz="4"/>
          <w:left w:val="single" w:color="auto" w:sz="4"/>
          <w:bottom w:val="single" w:color="auto" w:sz="4"/>
          <w:right w:val="single" w:color="auto" w:sz="4"/>
          <w:insideH w:val="single" w:color="auto" w:sz="4"/>
          <w:insideV w:val="single" w:color="auto" w:sz="4"/>
        </w:tblBorders>
      </w:tblPr>
      <w:tblGrid>
        <w:gridCol w:w="9212"/>
      </w:tblGrid>
      <w:tr>
        <w:tc>
          <w:tcPr>
            <w:tcW w:type="dxa" w:w="9212"/>
            <w:tcBorders>
              <w:top w:val="none"/>
              <w:left w:val="none"/>
              <w:bottom w:val="none"/>
              <w:right w:val="none"/>
            </w:tcBorders>
            <w:shd w:fill="0D1B2A" w:val="clear"/>
            <w:tcMar>
              <w:top w:type="dxa" w:w="130"/>
              <w:left w:type="dxa" w:w="200"/>
              <w:bottom w:type="dxa" w:w="130"/>
              <w:right w:type="dxa" w:w="200"/>
            </w:tcMar>
          </w:tcPr>
          <w:p>
            <w:pPr>
              <w:spacing w:after="80" w:before="0" w:line="276"/>
              <w:jc w:val="center"/>
            </w:pPr>
            <w:r>
              <w:rPr>
                <w:rFonts w:ascii="Arial" w:cs="Arial" w:eastAsia="Arial" w:hAnsi="Arial"/>
                <w:b w:val="false"/>
                <w:bCs w:val="false"/>
                <w:caps w:val="false"/>
                <w:color w:val="6B7A8D"/>
                <w:sz w:val="15"/>
                <w:szCs w:val="15"/>
              </w:rPr>
              <w:t xml:space="preserve">Brand X  ·  Listing Issues Report  ·  April 2026  ·  Confidential — Ideal Direct Ltd</w:t>
            </w:r>
          </w:p>
        </w:tc>
      </w:tr>
    </w:tbl>
    <w:sectPr>
      <w:headerReference w:type="default" r:id="rId7"/>
      <w:footerReference w:type="default" r:id="rId8"/>
      <w:pgSz w:w="11906" w:h="16838" w:orient="portrait"/>
      <w:pgMar w:top="900" w:right="1247" w:bottom="90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BF0" w:sz="6" w:space="4"/>
      </w:pBdr>
      <w:tabs>
        <w:tab w:val="right" w:pos="9026"/>
      </w:tabs>
      <w:spacing w:after="80" w:before="0" w:line="276"/>
      <w:jc w:val="left"/>
    </w:pPr>
    <w:r>
      <w:rPr>
        <w:rFonts w:ascii="Arial" w:cs="Arial" w:eastAsia="Arial" w:hAnsi="Arial"/>
        <w:b w:val="false"/>
        <w:bCs w:val="false"/>
        <w:caps w:val="false"/>
        <w:color w:val="6B7A8D"/>
        <w:sz w:val="14"/>
        <w:szCs w:val="14"/>
      </w:rPr>
      <w:t xml:space="preserve">Ideal Direct Ltd  ·  Confidential  ·  April 2026</w:t>
    </w:r>
    <w:r>
      <w:rPr>
        <w:rFonts w:ascii="Arial" w:cs="Arial" w:eastAsia="Arial" w:hAnsi="Arial"/>
      </w:rPr>
      <w:t xml:space="preserve">	</w:t>
    </w:r>
    <w:r>
      <w:rPr>
        <w:rFonts w:ascii="Arial" w:cs="Arial" w:eastAsia="Arial" w:hAnsi="Arial"/>
        <w:b w:val="false"/>
        <w:bCs w:val="false"/>
        <w:caps w:val="false"/>
        <w:color w:val="6B7A8D"/>
        <w:sz w:val="14"/>
        <w:szCs w:val="14"/>
      </w:rPr>
      <w:t xml:space="preserve">Page </w:t>
    </w:r>
    <w:r>
      <w:rPr>
        <w:rFonts w:ascii="Arial" w:cs="Arial" w:eastAsia="Arial" w:hAnsi="Arial"/>
        <w:color w:val="6B7A8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BF0" w:sz="6" w:space="4"/>
      </w:pBdr>
      <w:tabs>
        <w:tab w:val="right" w:pos="9026"/>
      </w:tabs>
      <w:spacing w:after="80" w:before="0" w:line="276"/>
      <w:jc w:val="left"/>
    </w:pPr>
    <w:r>
      <w:rPr>
        <w:rFonts w:ascii="Arial" w:cs="Arial" w:eastAsia="Arial" w:hAnsi="Arial"/>
        <w:b w:val="false"/>
        <w:bCs w:val="false"/>
        <w:caps w:val="false"/>
        <w:color w:val="6B7A8D"/>
        <w:sz w:val="14"/>
        <w:szCs w:val="14"/>
      </w:rPr>
      <w:t xml:space="preserve">IDEAL DIRECT  ·  BRAND X</w:t>
    </w:r>
    <w:r>
      <w:rPr>
        <w:rFonts w:ascii="Arial" w:cs="Arial" w:eastAsia="Arial" w:hAnsi="Arial"/>
      </w:rPr>
      <w:t xml:space="preserve">	</w:t>
    </w:r>
    <w:r>
      <w:rPr>
        <w:rFonts w:ascii="Arial" w:cs="Arial" w:eastAsia="Arial" w:hAnsi="Arial"/>
        <w:b/>
        <w:bCs/>
        <w:caps w:val="false"/>
        <w:color w:val="C0392B"/>
        <w:sz w:val="14"/>
        <w:szCs w:val="14"/>
      </w:rPr>
      <w:t xml:space="preserve">LISTING ISSUES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2026-04-08T09:04:59.364Z</dcterms:created>
  <dcterms:modified xsi:type="dcterms:W3CDTF">2026-04-08T09:04:59.365Z</dcterms:modified>
</cp:coreProperties>
</file>

<file path=docProps/custom.xml><?xml version="1.0" encoding="utf-8"?>
<Properties xmlns="http://schemas.openxmlformats.org/officeDocument/2006/custom-properties" xmlns:vt="http://schemas.openxmlformats.org/officeDocument/2006/docPropsVTypes"/>
</file>