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Reflecting Minds</w:t>
      </w:r>
    </w:p>
    <w:p>
      <w:pPr>
        <w:spacing w:after="60"/>
      </w:pPr>
      <w:r>
        <w:rPr>
          <w:i/>
          <w:iCs/>
        </w:rPr>
        <w:t xml:space="preserve">Mobile Software Specification — Draft revision adding decision requirements</w:t>
      </w:r>
    </w:p>
    <w:p>
      <w:pPr>
        <w:spacing w:after="40"/>
      </w:pPr>
      <w:r>
        <w:rPr>
          <w:b/>
          <w:bCs/>
        </w:rPr>
        <w:t xml:space="preserve">Version 0.3 DRAFT • 23 October 2026</w:t>
      </w:r>
    </w:p>
    <w:p>
      <w:pPr>
        <w:spacing w:after="160"/>
      </w:pPr>
      <w:r>
        <w:t xml:space="preserve">Proposed revision to v0.2. This draft is NOT the governing specification. Version 0.2 of 21 October 2026 remains governing until this draft is reviewed and adopted.</w:t>
      </w:r>
    </w:p>
    <w:p>
      <w:pPr>
        <w:pBdr>
          <w:bottom w:val="single" w:color="B9BEB8" w:sz="6"/>
        </w:pBdr>
        <w:spacing w:after="160"/>
      </w:pPr>
    </w:p>
    <w:p>
      <w:pPr>
        <w:pStyle w:val="Heading2"/>
        <w:spacing w:after="120" w:before="240"/>
      </w:pPr>
      <w:r>
        <w:t xml:space="preserve">Authorship and review status</w:t>
      </w:r>
    </w:p>
    <w:p>
      <w:pPr>
        <w:spacing w:after="140"/>
      </w:pPr>
      <w:r>
        <w:t xml:space="preserve">Drafted by Claude (model claude-opus-5) at the request of the project coordinator, from a review of v0.2 and the consolidated project bundle of 22 October 2026. It has had no review.</w:t>
      </w:r>
    </w:p>
    <w:p>
      <w:pPr>
        <w:spacing w:after="140"/>
      </w:pPr>
      <w:r>
        <w:rPr>
          <w:b w:val="false"/>
          <w:bCs w:val="false"/>
        </w:rPr>
        <w:t xml:space="preserve">FR14 requires content review by an authorized reviewer distinct from the author where practical. </w:t>
      </w:r>
      <w:r>
        <w:rPr>
          <w:b/>
          <w:bCs/>
        </w:rPr>
        <w:t xml:space="preserve">This draft has a single author and no reviewer, and must not govern anything until a person distinct from its author has reviewed it.</w:t>
      </w:r>
    </w:p>
    <w:p>
      <w:pPr>
        <w:spacing w:after="140"/>
      </w:pPr>
      <w:r>
        <w:t xml:space="preserve">This revision takes no new product decisions. Where v0.2 left a matter open, this draft leaves it open and adds a requirement that it be decided and recorded before a named gate. Where the review that produced this draft found a gap with an unambiguous fix, the fix is made and marked.</w:t>
      </w:r>
    </w:p>
    <w:p>
      <w:pPr>
        <w:pStyle w:val="Heading1"/>
        <w:spacing w:after="160" w:before="320"/>
      </w:pPr>
      <w:r>
        <w:t xml:space="preserve">Change summary</w:t>
      </w:r>
    </w:p>
    <w:p>
      <w:pPr>
        <w:pStyle w:val="ListParagraph"/>
        <w:numPr>
          <w:ilvl w:val="0"/>
          <w:numId w:val="2"/>
        </w:numPr>
        <w:spacing w:after="80"/>
      </w:pPr>
      <w:r>
        <w:t xml:space="preserve">Takes no new product decisions. The six agreed beta boundaries of v0.2 are carried forward unchanged.</w:t>
      </w:r>
    </w:p>
    <w:p>
      <w:pPr>
        <w:pStyle w:val="ListParagraph"/>
        <w:numPr>
          <w:ilvl w:val="0"/>
          <w:numId w:val="2"/>
        </w:numPr>
        <w:spacing w:after="80"/>
      </w:pPr>
      <w:r>
        <w:t xml:space="preserve">Adds an audience definition to section 1. Attribution of its source is unconfirmed and marked as such.</w:t>
      </w:r>
    </w:p>
    <w:p>
      <w:pPr>
        <w:pStyle w:val="ListParagraph"/>
        <w:numPr>
          <w:ilvl w:val="0"/>
          <w:numId w:val="2"/>
        </w:numPr>
        <w:spacing w:after="80"/>
      </w:pPr>
      <w:r>
        <w:t xml:space="preserve">Adds FR17, FR18 and FR19, requiring that three currently open matters be decided and recorded before their gates: the decision register, the record identity boundary, and beta learning scope.</w:t>
      </w:r>
    </w:p>
    <w:p>
      <w:pPr>
        <w:pStyle w:val="ListParagraph"/>
        <w:numPr>
          <w:ilvl w:val="0"/>
          <w:numId w:val="2"/>
        </w:numPr>
        <w:spacing w:after="80"/>
      </w:pPr>
      <w:r>
        <w:t xml:space="preserve">Amends FR16 to specify a fallback content-report route, so the requirement is satisfiable without an approved endpoint.</w:t>
      </w:r>
    </w:p>
    <w:p>
      <w:pPr>
        <w:pStyle w:val="ListParagraph"/>
        <w:numPr>
          <w:ilvl w:val="0"/>
          <w:numId w:val="2"/>
        </w:numPr>
        <w:spacing w:after="80"/>
      </w:pPr>
      <w:r>
        <w:t xml:space="preserve">Amends FR01 and FR02 to name the list route as the reference implementation for entry and the visual reel as an enhancement.</w:t>
      </w:r>
    </w:p>
    <w:p>
      <w:pPr>
        <w:pStyle w:val="ListParagraph"/>
        <w:numPr>
          <w:ilvl w:val="0"/>
          <w:numId w:val="2"/>
        </w:numPr>
        <w:spacing w:after="80"/>
      </w:pPr>
      <w:r>
        <w:t xml:space="preserve">Adds a media precedence requirement to section 5: whether authored media is the content or an enhancement must be recorded.</w:t>
      </w:r>
    </w:p>
    <w:p>
      <w:pPr>
        <w:pStyle w:val="ListParagraph"/>
        <w:numPr>
          <w:ilvl w:val="0"/>
          <w:numId w:val="2"/>
        </w:numPr>
        <w:spacing w:after="80"/>
      </w:pPr>
      <w:r>
        <w:t xml:space="preserve">Tightens AT10 by defining normal storage conditions, strengthens AT15 accessibility evidence, and adds AT18 covering decision-register completeness.</w:t>
      </w:r>
    </w:p>
    <w:p>
      <w:pPr>
        <w:pStyle w:val="ListParagraph"/>
        <w:numPr>
          <w:ilvl w:val="0"/>
          <w:numId w:val="2"/>
        </w:numPr>
        <w:spacing w:after="80"/>
      </w:pPr>
      <w:r>
        <w:t xml:space="preserve">Records that three of the nine provisional entry doors are not situational, and requires the taxonomy review to address it.</w:t>
      </w:r>
    </w:p>
    <w:p>
      <w:pPr>
        <w:pStyle w:val="ListParagraph"/>
        <w:numPr>
          <w:ilvl w:val="0"/>
          <w:numId w:val="2"/>
        </w:numPr>
        <w:spacing w:after="80"/>
      </w:pPr>
      <w:r>
        <w:t xml:space="preserve">Re-anchors the voice-first and social-entry addenda, which cite the superseded v0.1, to v0.2.</w:t>
      </w:r>
    </w:p>
    <w:p>
      <w:pPr>
        <w:pStyle w:val="Heading1"/>
        <w:spacing w:after="160" w:before="320"/>
      </w:pPr>
      <w:r>
        <w:t xml:space="preserve">1. Status, provenance and scope</w:t>
      </w:r>
    </w:p>
    <w:p>
      <w:pPr>
        <w:spacing w:after="140"/>
      </w:pPr>
      <w:r>
        <w:t xml:space="preserve">This document separates agreed product direction from proposed technical implementation. A requirement marked SHALL is a target for the proposed beta build, not a claim that it already exists. The conceptual model is the governing reference for how hypotheses, strategies, content and future shared inquiry should evolve.</w:t>
      </w:r>
    </w:p>
    <w:p>
      <w:pPr>
        <w:pStyle w:val="Heading2"/>
        <w:spacing w:after="120" w:before="240"/>
      </w:pPr>
      <w:r>
        <w:t xml:space="preserve">Agreed beta boundaries (unchanged from v0.2)</w:t>
      </w:r>
    </w:p>
    <w:p>
      <w:pPr>
        <w:pStyle w:val="ListParagraph"/>
        <w:numPr>
          <w:ilvl w:val="0"/>
          <w:numId w:val="2"/>
        </w:numPr>
        <w:spacing w:after="80"/>
      </w:pPr>
      <w:r>
        <w:t xml:space="preserve">Small invited beta; no formal research pilot.</w:t>
      </w:r>
    </w:p>
    <w:p>
      <w:pPr>
        <w:pStyle w:val="ListParagraph"/>
        <w:numPr>
          <w:ilvl w:val="0"/>
          <w:numId w:val="2"/>
        </w:numPr>
        <w:spacing w:after="80"/>
      </w:pPr>
      <w:r>
        <w:t xml:space="preserve">Mobile-first progressive web app, optionally installable; phones are primary, with basic tablet and desktop compatibility.</w:t>
      </w:r>
    </w:p>
    <w:p>
      <w:pPr>
        <w:pStyle w:val="ListParagraph"/>
        <w:numPr>
          <w:ilvl w:val="0"/>
          <w:numId w:val="2"/>
        </w:numPr>
        <w:spacing w:after="80"/>
      </w:pPr>
      <w:r>
        <w:t xml:space="preserve">No account required.</w:t>
      </w:r>
    </w:p>
    <w:p>
      <w:pPr>
        <w:pStyle w:val="ListParagraph"/>
        <w:numPr>
          <w:ilvl w:val="0"/>
          <w:numId w:val="2"/>
        </w:numPr>
        <w:spacing w:after="80"/>
      </w:pPr>
      <w:r>
        <w:t xml:space="preserve">Pre-produced audiovisual scenarios; hybrid live action and generated imagery as the creative direction; no live AI facilitation.</w:t>
      </w:r>
    </w:p>
    <w:p>
      <w:pPr>
        <w:pStyle w:val="ListParagraph"/>
        <w:numPr>
          <w:ilvl w:val="0"/>
          <w:numId w:val="2"/>
        </w:numPr>
        <w:spacing w:after="80"/>
      </w:pPr>
      <w:r>
        <w:t xml:space="preserve">No functioning group features or in-app feedback prompts.</w:t>
      </w:r>
    </w:p>
    <w:p>
      <w:pPr>
        <w:pStyle w:val="ListParagraph"/>
        <w:numPr>
          <w:ilvl w:val="0"/>
          <w:numId w:val="2"/>
        </w:numPr>
        <w:spacing w:after="80"/>
      </w:pPr>
      <w:r>
        <w:t xml:space="preserve">Local-first saving, only when the user explicitly chooses to save; user-controlled deletion.</w:t>
      </w:r>
    </w:p>
    <w:p>
      <w:pPr>
        <w:pStyle w:val="ListParagraph"/>
        <w:numPr>
          <w:ilvl w:val="0"/>
          <w:numId w:val="2"/>
        </w:numPr>
        <w:spacing w:after="80"/>
      </w:pPr>
      <w:r>
        <w:t xml:space="preserve">Essential operational telemetry only, with no reflection text or detailed personal activity tracking.</w:t>
      </w:r>
    </w:p>
    <w:p>
      <w:pPr>
        <w:pStyle w:val="Heading2"/>
        <w:spacing w:after="120" w:before="240"/>
      </w:pPr>
      <w:r>
        <w:t xml:space="preserve">Not in beta (unchanged from v0.2)</w:t>
      </w:r>
    </w:p>
    <w:p>
      <w:pPr>
        <w:pStyle w:val="ListParagraph"/>
        <w:numPr>
          <w:ilvl w:val="0"/>
          <w:numId w:val="2"/>
        </w:numPr>
        <w:spacing w:after="80"/>
      </w:pPr>
      <w:r>
        <w:t xml:space="preserve">Live AI assistance, generated AI summaries, AI-based classifications, or AI dialogue.</w:t>
      </w:r>
    </w:p>
    <w:p>
      <w:pPr>
        <w:pStyle w:val="ListParagraph"/>
        <w:numPr>
          <w:ilvl w:val="0"/>
          <w:numId w:val="2"/>
        </w:numPr>
        <w:spacing w:after="80"/>
      </w:pPr>
      <w:r>
        <w:t xml:space="preserve">Group workspaces, teams, user-to-user invitations, shared journals, public sharing, or cross-group facilitation.</w:t>
      </w:r>
    </w:p>
    <w:p>
      <w:pPr>
        <w:pStyle w:val="ListParagraph"/>
        <w:numPr>
          <w:ilvl w:val="0"/>
          <w:numId w:val="2"/>
        </w:numPr>
        <w:spacing w:after="80"/>
      </w:pPr>
      <w:r>
        <w:t xml:space="preserve">Formal research enrollment, in-app surveys, ratings, satisfaction prompts, or requests to explain what was learned.</w:t>
      </w:r>
    </w:p>
    <w:p>
      <w:pPr>
        <w:pStyle w:val="ListParagraph"/>
        <w:numPr>
          <w:ilvl w:val="0"/>
          <w:numId w:val="2"/>
        </w:numPr>
        <w:spacing w:after="80"/>
      </w:pPr>
      <w:r>
        <w:t xml:space="preserve">Any claim that using the app improves Global Attentiveness or produces a beneficial personal or social outcome.</w:t>
      </w:r>
    </w:p>
    <w:p>
      <w:pPr>
        <w:pStyle w:val="Heading2"/>
        <w:spacing w:after="120" w:before="240"/>
      </w:pPr>
      <w:r>
        <w:t xml:space="preserve">Audience (new in v0.3 — attribution unconfirmed)</w:t>
      </w:r>
    </w:p>
    <w:p>
      <w:pPr>
        <w:spacing w:after="140"/>
      </w:pPr>
      <w:r>
        <w:t xml:space="preserve">The audience is a state rather than a group: a person currently carrying emotional friction, internally or interpersonally. The app does not need to create the motivation to reduce that friction; it needs to offer a way in that does not require the person to admit fault, commit to change, or disclose anything.</w:t>
      </w:r>
    </w:p>
    <w:p>
      <w:pPr>
        <w:spacing w:after="140"/>
      </w:pPr>
      <w:r>
        <w:t xml:space="preserve">This definition is consistent with FR02, which forbids inferring identity, and with the requirement that entry doors describe content rather than people. It defines no demographic, and no part of the product may treat it as one.</w:t>
      </w:r>
    </w:p>
    <w:p>
      <w:pPr>
        <w:spacing w:after="140"/>
      </w:pPr>
      <w:r>
        <w:rPr>
          <w:b/>
          <w:bCs/>
        </w:rPr>
        <w:t xml:space="preserve">Provenance: </w:t>
      </w:r>
      <w:r>
        <w:rPr>
          <w:b w:val="false"/>
          <w:bCs w:val="false"/>
        </w:rPr>
        <w:t xml:space="preserve">this framing was supplied to the project on 22 October 2026 in a pasted assistant conversation. The human speaker is not named in that excerpt; internal evidence establishes only that they are not Alan. Attribution must be confirmed before this definition is treated as direction rather than a proposal.</w:t>
      </w:r>
    </w:p>
    <w:p>
      <w:pPr>
        <w:spacing w:after="140"/>
      </w:pPr>
      <w:r>
        <w:rPr>
          <w:b/>
          <w:bCs/>
        </w:rPr>
        <w:t xml:space="preserve">Constraint. </w:t>
      </w:r>
      <w:r>
        <w:rPr>
          <w:b w:val="false"/>
          <w:bCs w:val="false"/>
        </w:rPr>
        <w:t xml:space="preserve">The friction framing is an internal design principle and may not appear in product, marketing or error copy. A promise to reduce emotional friction is an efficacy claim and falls under AT17. The relationship between friction reduction and Global Attentiveness is undefined and belongs in the hypothesis registry, not in this specification.</w:t>
      </w:r>
    </w:p>
    <w:p>
      <w:pPr>
        <w:pStyle w:val="Heading2"/>
        <w:spacing w:after="120" w:before="240"/>
      </w:pPr>
      <w:r>
        <w:t xml:space="preserve">What this revision does not do</w:t>
      </w:r>
    </w:p>
    <w:p>
      <w:pPr>
        <w:spacing w:after="140"/>
      </w:pPr>
      <w:r>
        <w:t xml:space="preserve">It does not authorize implementation, select a framework, storage technology, offline policy or telemetry configuration, name any accountable owner, approve any content or scenario, or claim the beta is ready. It does not resolve any item in section 9.</w:t>
      </w:r>
    </w:p>
    <w:p>
      <w:pPr>
        <w:pStyle w:val="Heading1"/>
        <w:spacing w:after="160" w:before="320"/>
      </w:pPr>
      <w:r>
        <w:t xml:space="preserve">2. Product model and navigation</w:t>
      </w:r>
    </w:p>
    <w:p>
      <w:pPr>
        <w:spacing w:after="140"/>
      </w:pPr>
      <w:r>
        <w:t xml:space="preserve">The app supports a flexible seven-stage cycle: Entry, Notice, Motivation, Compare, Discern, Respond, Review. It is not a mandatory linear sequence. Users may skip optional stages, go back, pause, disagree, stop, or leave. Unchanged from v0.2.</w:t>
      </w:r>
    </w:p>
    <w:p>
      <w:pPr>
        <w:pStyle w:val="Heading2"/>
        <w:spacing w:after="120" w:before="240"/>
      </w:pPr>
      <w:r>
        <w:t xml:space="preserve">Entry model (amended)</w:t>
      </w:r>
    </w:p>
    <w:p>
      <w:pPr>
        <w:spacing w:after="140"/>
      </w:pPr>
      <w:r>
        <w:t xml:space="preserve">Design for approximately nine entry doors. The categories below are a provisional, versioned content taxonomy, not labels assigned to users:</w:t>
      </w:r>
    </w:p>
    <w:p>
      <w:pPr>
        <w:pStyle w:val="ListParagraph"/>
        <w:numPr>
          <w:ilvl w:val="0"/>
          <w:numId w:val="2"/>
        </w:numPr>
        <w:spacing w:after="80"/>
      </w:pPr>
      <w:r>
        <w:t xml:space="preserve">Unresolved personal tension</w:t>
      </w:r>
    </w:p>
    <w:p>
      <w:pPr>
        <w:pStyle w:val="ListParagraph"/>
        <w:numPr>
          <w:ilvl w:val="0"/>
          <w:numId w:val="2"/>
        </w:numPr>
        <w:spacing w:after="80"/>
      </w:pPr>
      <w:r>
        <w:t xml:space="preserve">Seeing things differently</w:t>
      </w:r>
    </w:p>
    <w:p>
      <w:pPr>
        <w:pStyle w:val="ListParagraph"/>
        <w:numPr>
          <w:ilvl w:val="0"/>
          <w:numId w:val="2"/>
        </w:numPr>
        <w:spacing w:after="80"/>
      </w:pPr>
      <w:r>
        <w:t xml:space="preserve">Uncertainty</w:t>
      </w:r>
    </w:p>
    <w:p>
      <w:pPr>
        <w:pStyle w:val="ListParagraph"/>
        <w:numPr>
          <w:ilvl w:val="0"/>
          <w:numId w:val="2"/>
        </w:numPr>
        <w:spacing w:after="80"/>
      </w:pPr>
      <w:r>
        <w:t xml:space="preserve">Divided group</w:t>
      </w:r>
    </w:p>
    <w:p>
      <w:pPr>
        <w:pStyle w:val="ListParagraph"/>
        <w:numPr>
          <w:ilvl w:val="0"/>
          <w:numId w:val="2"/>
        </w:numPr>
        <w:spacing w:after="80"/>
      </w:pPr>
      <w:r>
        <w:t xml:space="preserve">Another person’s perspective</w:t>
      </w:r>
    </w:p>
    <w:p>
      <w:pPr>
        <w:pStyle w:val="ListParagraph"/>
        <w:numPr>
          <w:ilvl w:val="0"/>
          <w:numId w:val="2"/>
        </w:numPr>
        <w:spacing w:after="80"/>
      </w:pPr>
      <w:r>
        <w:t xml:space="preserve">Something seen or heard (post, story, claim)</w:t>
      </w:r>
    </w:p>
    <w:p>
      <w:pPr>
        <w:pStyle w:val="ListParagraph"/>
        <w:numPr>
          <w:ilvl w:val="0"/>
          <w:numId w:val="2"/>
        </w:numPr>
        <w:spacing w:after="80"/>
      </w:pPr>
      <w:r>
        <w:t xml:space="preserve">Values in tension</w:t>
      </w:r>
    </w:p>
    <w:p>
      <w:pPr>
        <w:pStyle w:val="ListParagraph"/>
        <w:numPr>
          <w:ilvl w:val="0"/>
          <w:numId w:val="2"/>
        </w:numPr>
        <w:spacing w:after="80"/>
      </w:pPr>
      <w:r>
        <w:t xml:space="preserve">Self-understanding</w:t>
      </w:r>
    </w:p>
    <w:p>
      <w:pPr>
        <w:pStyle w:val="ListParagraph"/>
        <w:numPr>
          <w:ilvl w:val="0"/>
          <w:numId w:val="2"/>
        </w:numPr>
        <w:spacing w:after="80"/>
      </w:pPr>
      <w:r>
        <w:t xml:space="preserve">Just curious</w:t>
      </w:r>
    </w:p>
    <w:p>
      <w:pPr>
        <w:spacing w:after="140"/>
      </w:pPr>
      <w:r>
        <w:rPr>
          <w:b/>
          <w:bCs/>
        </w:rPr>
        <w:t xml:space="preserve">Amendment — taxonomy consistency. </w:t>
      </w:r>
      <w:r>
        <w:rPr>
          <w:b w:val="false"/>
          <w:bCs w:val="false"/>
        </w:rPr>
        <w:t xml:space="preserve">Three of the nine entries are not situations. "Self-understanding" and "Just curious" describe dispositions; "Divided group" describes a context rather than a personal situation, and overlaps capability deferred from beta. The taxonomy review required by FR02 shall address this: either the three are deliberately accepted as a mixed set, with their difference reflected in how they are presented and authored, or they are reworked as situations. The decision shall be recorded with the taxonomy version.</w:t>
      </w:r>
    </w:p>
    <w:p>
      <w:pPr>
        <w:spacing w:after="140"/>
      </w:pPr>
      <w:r>
        <w:rPr>
          <w:b/>
          <w:bCs/>
        </w:rPr>
        <w:t xml:space="preserve">Amendment — entry route precedence. </w:t>
      </w:r>
      <w:r>
        <w:rPr>
          <w:b w:val="false"/>
          <w:bCs w:val="false"/>
        </w:rPr>
        <w:t xml:space="preserve">The browse list and button route is the reference implementation for entry and shall be built and tested first. The swipeable visual reel is an enhancement over it. Swipe-first navigation is the least accessible available pattern, and treating the reel as primary places the accessibility obligation on the hardest route. "Surprise me" may select an experience only after an explicit user action, and shall not remove the ability to choose deliberately.</w:t>
      </w:r>
    </w:p>
    <w:p>
      <w:pPr>
        <w:pStyle w:val="Heading1"/>
        <w:spacing w:after="160" w:before="320"/>
      </w:pPr>
      <w:r>
        <w:t xml:space="preserve">3. Core flows</w:t>
      </w:r>
    </w:p>
    <w:p>
      <w:pPr>
        <w:spacing w:after="140"/>
      </w:pPr>
      <w:r>
        <w:t xml:space="preserve">Flows A, B and C are unchanged from v0.2 and are not restated here. Flow A: try an experience. Flow B: examine a disagreement, through an optional worksheet that labels inferred motives as the user’s interpretations. Flow C: return and learn, preserving the original plan separately from later observations and revisions.</w:t>
      </w:r>
    </w:p>
    <w:p>
      <w:pPr>
        <w:spacing w:after="140"/>
      </w:pPr>
      <w:r>
        <w:rPr>
          <w:b/>
          <w:bCs/>
        </w:rPr>
        <w:t xml:space="preserve">Note. </w:t>
      </w:r>
      <w:r>
        <w:rPr>
          <w:b w:val="false"/>
          <w:bCs w:val="false"/>
        </w:rPr>
        <w:t xml:space="preserve">The agency provisions in these flows — refusal without penalty, optional action, "I did not act" as a valid outcome — are the mechanism by which the durable route is made as low-cost as the avoidant one. They are load-bearing, not courtesies, and may not be traded away for completion.</w:t>
      </w:r>
    </w:p>
    <w:p>
      <w:pPr>
        <w:pStyle w:val="Heading1"/>
        <w:spacing w:after="160" w:before="320"/>
      </w:pPr>
      <w:r>
        <w:t xml:space="preserve">4. Functional requirements</w:t>
      </w:r>
    </w:p>
    <w:p>
      <w:pPr>
        <w:spacing w:after="140"/>
      </w:pPr>
      <w:r>
        <w:t xml:space="preserve">FR01 to FR16 are carried forward from v0.2. The table records their status in this revision; amended and new requirements are set out in full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shd w:fill="EDEFEC" w:val="clear"/>
            <w:tcMar>
              <w:top w:type="dxa" w:w="90"/>
              <w:left w:type="dxa" w:w="130"/>
              <w:bottom w:type="dxa" w:w="90"/>
              <w:right w:type="dxa" w:w="130"/>
            </w:tcMar>
          </w:tcPr>
          <w:p>
            <w:pPr>
              <w:spacing w:after="40"/>
            </w:pPr>
            <w:r>
              <w:rPr>
                <w:b/>
                <w:bCs/>
                <w:sz w:val="19"/>
                <w:szCs w:val="19"/>
              </w:rPr>
              <w:t xml:space="preserve">Req</w:t>
            </w:r>
          </w:p>
        </w:tc>
        <w:tc>
          <w:tcPr>
            <w:tcW w:type="dxa" w:w="4200"/>
            <w:shd w:fill="EDEFEC" w:val="clear"/>
            <w:tcMar>
              <w:top w:type="dxa" w:w="90"/>
              <w:left w:type="dxa" w:w="130"/>
              <w:bottom w:type="dxa" w:w="90"/>
              <w:right w:type="dxa" w:w="130"/>
            </w:tcMar>
          </w:tcPr>
          <w:p>
            <w:pPr>
              <w:spacing w:after="40"/>
            </w:pPr>
            <w:r>
              <w:rPr>
                <w:b/>
                <w:bCs/>
                <w:sz w:val="19"/>
                <w:szCs w:val="19"/>
              </w:rPr>
              <w:t xml:space="preserve">Subject</w:t>
            </w:r>
          </w:p>
        </w:tc>
        <w:tc>
          <w:tcPr>
            <w:tcW w:type="dxa" w:w="1500"/>
            <w:shd w:fill="EDEFEC" w:val="clear"/>
            <w:tcMar>
              <w:top w:type="dxa" w:w="90"/>
              <w:left w:type="dxa" w:w="130"/>
              <w:bottom w:type="dxa" w:w="90"/>
              <w:right w:type="dxa" w:w="130"/>
            </w:tcMar>
          </w:tcPr>
          <w:p>
            <w:pPr>
              <w:spacing w:after="40"/>
            </w:pPr>
            <w:r>
              <w:rPr>
                <w:b/>
                <w:bCs/>
                <w:sz w:val="19"/>
                <w:szCs w:val="19"/>
              </w:rPr>
              <w:t xml:space="preserve">Status in v0.3</w:t>
            </w:r>
          </w:p>
        </w:tc>
        <w:tc>
          <w:tcPr>
            <w:tcW w:type="dxa" w:w="2460"/>
            <w:shd w:fill="EDEFEC" w:val="clear"/>
            <w:tcMar>
              <w:top w:type="dxa" w:w="90"/>
              <w:left w:type="dxa" w:w="130"/>
              <w:bottom w:type="dxa" w:w="90"/>
              <w:right w:type="dxa" w:w="130"/>
            </w:tcMar>
          </w:tcPr>
          <w:p>
            <w:pPr>
              <w:spacing w:after="40"/>
            </w:pPr>
            <w:r>
              <w:rPr>
                <w:b/>
                <w:bCs/>
                <w:sz w:val="19"/>
                <w:szCs w:val="19"/>
              </w:rPr>
              <w:t xml:space="preserve">Change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FR01</w:t>
            </w:r>
          </w:p>
        </w:tc>
        <w:tc>
          <w:tcPr>
            <w:tcW w:type="dxa" w:w="4200"/>
            <w:tcMar>
              <w:top w:type="dxa" w:w="90"/>
              <w:left w:type="dxa" w:w="130"/>
              <w:bottom w:type="dxa" w:w="90"/>
              <w:right w:type="dxa" w:w="130"/>
            </w:tcMar>
          </w:tcPr>
          <w:p>
            <w:pPr>
              <w:spacing w:after="40"/>
            </w:pPr>
            <w:r>
              <w:rPr>
                <w:b w:val="false"/>
                <w:bCs w:val="false"/>
                <w:sz w:val="19"/>
                <w:szCs w:val="19"/>
              </w:rPr>
              <w:t xml:space="preserve">Mobile entry and routes</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List route named as reference implementation</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FR02</w:t>
            </w:r>
          </w:p>
        </w:tc>
        <w:tc>
          <w:tcPr>
            <w:tcW w:type="dxa" w:w="4200"/>
            <w:tcMar>
              <w:top w:type="dxa" w:w="90"/>
              <w:left w:type="dxa" w:w="130"/>
              <w:bottom w:type="dxa" w:w="90"/>
              <w:right w:type="dxa" w:w="130"/>
            </w:tcMar>
          </w:tcPr>
          <w:p>
            <w:pPr>
              <w:spacing w:after="40"/>
            </w:pPr>
            <w:r>
              <w:rPr>
                <w:b w:val="false"/>
                <w:bCs w:val="false"/>
                <w:sz w:val="19"/>
                <w:szCs w:val="19"/>
              </w:rPr>
              <w:t xml:space="preserve">User-chosen presentation</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Taxonomy review must address non-situational doors</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FR03</w:t>
            </w:r>
          </w:p>
        </w:tc>
        <w:tc>
          <w:tcPr>
            <w:tcW w:type="dxa" w:w="4200"/>
            <w:tcMar>
              <w:top w:type="dxa" w:w="90"/>
              <w:left w:type="dxa" w:w="130"/>
              <w:bottom w:type="dxa" w:w="90"/>
              <w:right w:type="dxa" w:w="130"/>
            </w:tcMar>
          </w:tcPr>
          <w:p>
            <w:pPr>
              <w:spacing w:after="40"/>
            </w:pPr>
            <w:r>
              <w:rPr>
                <w:b w:val="false"/>
                <w:bCs w:val="false"/>
                <w:sz w:val="19"/>
                <w:szCs w:val="19"/>
              </w:rPr>
              <w:t xml:space="preserve">Explain control and storage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FR04</w:t>
            </w:r>
          </w:p>
        </w:tc>
        <w:tc>
          <w:tcPr>
            <w:tcW w:type="dxa" w:w="4200"/>
            <w:tcMar>
              <w:top w:type="dxa" w:w="90"/>
              <w:left w:type="dxa" w:w="130"/>
              <w:bottom w:type="dxa" w:w="90"/>
              <w:right w:type="dxa" w:w="130"/>
            </w:tcMar>
          </w:tcPr>
          <w:p>
            <w:pPr>
              <w:spacing w:after="40"/>
            </w:pPr>
            <w:r>
              <w:rPr>
                <w:b w:val="false"/>
                <w:bCs w:val="false"/>
                <w:sz w:val="19"/>
                <w:szCs w:val="19"/>
              </w:rPr>
              <w:t xml:space="preserve">Attention practice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FR05</w:t>
            </w:r>
          </w:p>
        </w:tc>
        <w:tc>
          <w:tcPr>
            <w:tcW w:type="dxa" w:w="4200"/>
            <w:tcMar>
              <w:top w:type="dxa" w:w="90"/>
              <w:left w:type="dxa" w:w="130"/>
              <w:bottom w:type="dxa" w:w="90"/>
              <w:right w:type="dxa" w:w="130"/>
            </w:tcMar>
          </w:tcPr>
          <w:p>
            <w:pPr>
              <w:spacing w:after="40"/>
            </w:pPr>
            <w:r>
              <w:rPr>
                <w:b w:val="false"/>
                <w:bCs w:val="false"/>
                <w:sz w:val="19"/>
                <w:szCs w:val="19"/>
              </w:rPr>
              <w:t xml:space="preserve">Describe motivation</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FR06</w:t>
            </w:r>
          </w:p>
        </w:tc>
        <w:tc>
          <w:tcPr>
            <w:tcW w:type="dxa" w:w="4200"/>
            <w:tcMar>
              <w:top w:type="dxa" w:w="90"/>
              <w:left w:type="dxa" w:w="130"/>
              <w:bottom w:type="dxa" w:w="90"/>
              <w:right w:type="dxa" w:w="130"/>
            </w:tcMar>
          </w:tcPr>
          <w:p>
            <w:pPr>
              <w:spacing w:after="40"/>
            </w:pPr>
            <w:r>
              <w:rPr>
                <w:b w:val="false"/>
                <w:bCs w:val="false"/>
                <w:sz w:val="19"/>
                <w:szCs w:val="19"/>
              </w:rPr>
              <w:t xml:space="preserve">Compare without ranking</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FR07</w:t>
            </w:r>
          </w:p>
        </w:tc>
        <w:tc>
          <w:tcPr>
            <w:tcW w:type="dxa" w:w="4200"/>
            <w:tcMar>
              <w:top w:type="dxa" w:w="90"/>
              <w:left w:type="dxa" w:w="130"/>
              <w:bottom w:type="dxa" w:w="90"/>
              <w:right w:type="dxa" w:w="130"/>
            </w:tcMar>
          </w:tcPr>
          <w:p>
            <w:pPr>
              <w:spacing w:after="40"/>
            </w:pPr>
            <w:r>
              <w:rPr>
                <w:b w:val="false"/>
                <w:bCs w:val="false"/>
                <w:sz w:val="19"/>
                <w:szCs w:val="19"/>
              </w:rPr>
              <w:t xml:space="preserve">Support discernment</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FR08</w:t>
            </w:r>
          </w:p>
        </w:tc>
        <w:tc>
          <w:tcPr>
            <w:tcW w:type="dxa" w:w="4200"/>
            <w:tcMar>
              <w:top w:type="dxa" w:w="90"/>
              <w:left w:type="dxa" w:w="130"/>
              <w:bottom w:type="dxa" w:w="90"/>
              <w:right w:type="dxa" w:w="130"/>
            </w:tcMar>
          </w:tcPr>
          <w:p>
            <w:pPr>
              <w:spacing w:after="40"/>
            </w:pPr>
            <w:r>
              <w:rPr>
                <w:b w:val="false"/>
                <w:bCs w:val="false"/>
                <w:sz w:val="19"/>
                <w:szCs w:val="19"/>
              </w:rPr>
              <w:t xml:space="preserve">Choose a response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FR09</w:t>
            </w:r>
          </w:p>
        </w:tc>
        <w:tc>
          <w:tcPr>
            <w:tcW w:type="dxa" w:w="4200"/>
            <w:tcMar>
              <w:top w:type="dxa" w:w="90"/>
              <w:left w:type="dxa" w:w="130"/>
              <w:bottom w:type="dxa" w:w="90"/>
              <w:right w:type="dxa" w:w="130"/>
            </w:tcMar>
          </w:tcPr>
          <w:p>
            <w:pPr>
              <w:spacing w:after="40"/>
            </w:pPr>
            <w:r>
              <w:rPr>
                <w:b w:val="false"/>
                <w:bCs w:val="false"/>
                <w:sz w:val="19"/>
                <w:szCs w:val="19"/>
              </w:rPr>
              <w:t xml:space="preserve">Review outcomes</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FR10</w:t>
            </w:r>
          </w:p>
        </w:tc>
        <w:tc>
          <w:tcPr>
            <w:tcW w:type="dxa" w:w="4200"/>
            <w:tcMar>
              <w:top w:type="dxa" w:w="90"/>
              <w:left w:type="dxa" w:w="130"/>
              <w:bottom w:type="dxa" w:w="90"/>
              <w:right w:type="dxa" w:w="130"/>
            </w:tcMar>
          </w:tcPr>
          <w:p>
            <w:pPr>
              <w:spacing w:after="40"/>
            </w:pPr>
            <w:r>
              <w:rPr>
                <w:b w:val="false"/>
                <w:bCs w:val="false"/>
                <w:sz w:val="19"/>
                <w:szCs w:val="19"/>
              </w:rPr>
              <w:t xml:space="preserve">No live AI in beta</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FR11</w:t>
            </w:r>
          </w:p>
        </w:tc>
        <w:tc>
          <w:tcPr>
            <w:tcW w:type="dxa" w:w="4200"/>
            <w:tcMar>
              <w:top w:type="dxa" w:w="90"/>
              <w:left w:type="dxa" w:w="130"/>
              <w:bottom w:type="dxa" w:w="90"/>
              <w:right w:type="dxa" w:w="130"/>
            </w:tcMar>
          </w:tcPr>
          <w:p>
            <w:pPr>
              <w:spacing w:after="40"/>
            </w:pPr>
            <w:r>
              <w:rPr>
                <w:b w:val="false"/>
                <w:bCs w:val="false"/>
                <w:sz w:val="19"/>
                <w:szCs w:val="19"/>
              </w:rPr>
              <w:t xml:space="preserve">Human-authored deterministic scenarios</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FR12</w:t>
            </w:r>
          </w:p>
        </w:tc>
        <w:tc>
          <w:tcPr>
            <w:tcW w:type="dxa" w:w="4200"/>
            <w:tcMar>
              <w:top w:type="dxa" w:w="90"/>
              <w:left w:type="dxa" w:w="130"/>
              <w:bottom w:type="dxa" w:w="90"/>
              <w:right w:type="dxa" w:w="130"/>
            </w:tcMar>
          </w:tcPr>
          <w:p>
            <w:pPr>
              <w:spacing w:after="40"/>
            </w:pPr>
            <w:r>
              <w:rPr>
                <w:b w:val="false"/>
                <w:bCs w:val="false"/>
                <w:sz w:val="19"/>
                <w:szCs w:val="19"/>
              </w:rPr>
              <w:t xml:space="preserve">Save and resume privately</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See FR18 for the identity boundary</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FR13</w:t>
            </w:r>
          </w:p>
        </w:tc>
        <w:tc>
          <w:tcPr>
            <w:tcW w:type="dxa" w:w="4200"/>
            <w:tcMar>
              <w:top w:type="dxa" w:w="90"/>
              <w:left w:type="dxa" w:w="130"/>
              <w:bottom w:type="dxa" w:w="90"/>
              <w:right w:type="dxa" w:w="130"/>
            </w:tcMar>
          </w:tcPr>
          <w:p>
            <w:pPr>
              <w:spacing w:after="40"/>
            </w:pPr>
            <w:r>
              <w:rPr>
                <w:b w:val="false"/>
                <w:bCs w:val="false"/>
                <w:sz w:val="19"/>
                <w:szCs w:val="19"/>
              </w:rPr>
              <w:t xml:space="preserve">Export and delete</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FR14</w:t>
            </w:r>
          </w:p>
        </w:tc>
        <w:tc>
          <w:tcPr>
            <w:tcW w:type="dxa" w:w="4200"/>
            <w:tcMar>
              <w:top w:type="dxa" w:w="90"/>
              <w:left w:type="dxa" w:w="130"/>
              <w:bottom w:type="dxa" w:w="90"/>
              <w:right w:type="dxa" w:w="130"/>
            </w:tcMar>
          </w:tcPr>
          <w:p>
            <w:pPr>
              <w:spacing w:after="40"/>
            </w:pPr>
            <w:r>
              <w:rPr>
                <w:b w:val="false"/>
                <w:bCs w:val="false"/>
                <w:sz w:val="19"/>
                <w:szCs w:val="19"/>
              </w:rPr>
              <w:t xml:space="preserve">Content publishing and versioning</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FR15</w:t>
            </w:r>
          </w:p>
        </w:tc>
        <w:tc>
          <w:tcPr>
            <w:tcW w:type="dxa" w:w="4200"/>
            <w:tcMar>
              <w:top w:type="dxa" w:w="90"/>
              <w:left w:type="dxa" w:w="130"/>
              <w:bottom w:type="dxa" w:w="90"/>
              <w:right w:type="dxa" w:w="130"/>
            </w:tcMar>
          </w:tcPr>
          <w:p>
            <w:pPr>
              <w:spacing w:after="40"/>
            </w:pPr>
            <w:r>
              <w:rPr>
                <w:b w:val="false"/>
                <w:bCs w:val="false"/>
                <w:sz w:val="19"/>
                <w:szCs w:val="19"/>
              </w:rPr>
              <w:t xml:space="preserve">No in-app feedback prompts during beta</w:t>
            </w:r>
          </w:p>
        </w:tc>
        <w:tc>
          <w:tcPr>
            <w:tcW w:type="dxa" w:w="1500"/>
            <w:tcMar>
              <w:top w:type="dxa" w:w="90"/>
              <w:left w:type="dxa" w:w="130"/>
              <w:bottom w:type="dxa" w:w="90"/>
              <w:right w:type="dxa" w:w="130"/>
            </w:tcMar>
          </w:tcPr>
          <w:p>
            <w:pPr>
              <w:spacing w:after="40"/>
            </w:pPr>
            <w:r>
              <w:rPr>
                <w:b w:val="false"/>
                <w:bCs w:val="false"/>
                <w:sz w:val="19"/>
                <w:szCs w:val="19"/>
              </w:rPr>
              <w:t xml:space="preserve">Unchanged</w:t>
            </w:r>
          </w:p>
        </w:tc>
        <w:tc>
          <w:tcPr>
            <w:tcW w:type="dxa" w:w="2460"/>
            <w:tcMar>
              <w:top w:type="dxa" w:w="90"/>
              <w:left w:type="dxa" w:w="130"/>
              <w:bottom w:type="dxa" w:w="90"/>
              <w:right w:type="dxa" w:w="130"/>
            </w:tcMar>
          </w:tcPr>
          <w:p>
            <w:pPr>
              <w:spacing w:after="40"/>
            </w:pPr>
            <w:r>
              <w:rPr>
                <w:b w:val="false"/>
                <w:bCs w:val="false"/>
                <w:sz w:val="19"/>
                <w:szCs w:val="19"/>
              </w:rPr>
              <w:t xml:space="preserve">See FR19 for learning scope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FR16</w:t>
            </w:r>
          </w:p>
        </w:tc>
        <w:tc>
          <w:tcPr>
            <w:tcW w:type="dxa" w:w="4200"/>
            <w:tcMar>
              <w:top w:type="dxa" w:w="90"/>
              <w:left w:type="dxa" w:w="130"/>
              <w:bottom w:type="dxa" w:w="90"/>
              <w:right w:type="dxa" w:w="130"/>
            </w:tcMar>
          </w:tcPr>
          <w:p>
            <w:pPr>
              <w:spacing w:after="40"/>
            </w:pPr>
            <w:r>
              <w:rPr>
                <w:b w:val="false"/>
                <w:bCs w:val="false"/>
                <w:sz w:val="19"/>
                <w:szCs w:val="19"/>
              </w:rPr>
              <w:t xml:space="preserve">User control and operational privacy</w:t>
            </w:r>
          </w:p>
        </w:tc>
        <w:tc>
          <w:tcPr>
            <w:tcW w:type="dxa" w:w="1500"/>
            <w:tcMar>
              <w:top w:type="dxa" w:w="90"/>
              <w:left w:type="dxa" w:w="130"/>
              <w:bottom w:type="dxa" w:w="90"/>
              <w:right w:type="dxa" w:w="130"/>
            </w:tcMar>
          </w:tcPr>
          <w:p>
            <w:pPr>
              <w:spacing w:after="40"/>
            </w:pPr>
            <w:r>
              <w:rPr>
                <w:b w:val="false"/>
                <w:bCs w:val="false"/>
                <w:sz w:val="19"/>
                <w:szCs w:val="19"/>
              </w:rPr>
              <w:t xml:space="preserve">Amended</w:t>
            </w:r>
          </w:p>
        </w:tc>
        <w:tc>
          <w:tcPr>
            <w:tcW w:type="dxa" w:w="2460"/>
            <w:tcMar>
              <w:top w:type="dxa" w:w="90"/>
              <w:left w:type="dxa" w:w="130"/>
              <w:bottom w:type="dxa" w:w="90"/>
              <w:right w:type="dxa" w:w="130"/>
            </w:tcMar>
          </w:tcPr>
          <w:p>
            <w:pPr>
              <w:spacing w:after="40"/>
            </w:pPr>
            <w:r>
              <w:rPr>
                <w:b w:val="false"/>
                <w:bCs w:val="false"/>
                <w:sz w:val="19"/>
                <w:szCs w:val="19"/>
              </w:rPr>
              <w:t xml:space="preserve">Fallback content-report route specified</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FR17</w:t>
            </w:r>
          </w:p>
        </w:tc>
        <w:tc>
          <w:tcPr>
            <w:tcW w:type="dxa" w:w="4200"/>
            <w:tcMar>
              <w:top w:type="dxa" w:w="90"/>
              <w:left w:type="dxa" w:w="130"/>
              <w:bottom w:type="dxa" w:w="90"/>
              <w:right w:type="dxa" w:w="130"/>
            </w:tcMar>
          </w:tcPr>
          <w:p>
            <w:pPr>
              <w:spacing w:after="40"/>
            </w:pPr>
            <w:r>
              <w:rPr>
                <w:b w:val="false"/>
                <w:bCs w:val="false"/>
                <w:sz w:val="19"/>
                <w:szCs w:val="19"/>
              </w:rPr>
              <w:t xml:space="preserve">Decision register</w:t>
            </w:r>
          </w:p>
        </w:tc>
        <w:tc>
          <w:tcPr>
            <w:tcW w:type="dxa" w:w="1500"/>
            <w:tcMar>
              <w:top w:type="dxa" w:w="90"/>
              <w:left w:type="dxa" w:w="130"/>
              <w:bottom w:type="dxa" w:w="90"/>
              <w:right w:type="dxa" w:w="130"/>
            </w:tcMar>
          </w:tcPr>
          <w:p>
            <w:pPr>
              <w:spacing w:after="40"/>
            </w:pPr>
            <w:r>
              <w:rPr>
                <w:b w:val="false"/>
                <w:bCs w:val="false"/>
                <w:sz w:val="19"/>
                <w:szCs w:val="19"/>
              </w:rPr>
              <w:t xml:space="preserve">New</w:t>
            </w:r>
          </w:p>
        </w:tc>
        <w:tc>
          <w:tcPr>
            <w:tcW w:type="dxa" w:w="2460"/>
            <w:tcMar>
              <w:top w:type="dxa" w:w="90"/>
              <w:left w:type="dxa" w:w="130"/>
              <w:bottom w:type="dxa" w:w="90"/>
              <w:right w:type="dxa" w:w="130"/>
            </w:tcMar>
          </w:tcPr>
          <w:p>
            <w:pPr>
              <w:spacing w:after="40"/>
            </w:pPr>
            <w:r>
              <w:rPr>
                <w:b w:val="false"/>
                <w:bCs w:val="false"/>
                <w:sz w:val="19"/>
                <w:szCs w:val="19"/>
              </w:rPr>
              <w:t xml:space="preserve">Open decisions must be recorded before their gate</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FR18</w:t>
            </w:r>
          </w:p>
        </w:tc>
        <w:tc>
          <w:tcPr>
            <w:tcW w:type="dxa" w:w="4200"/>
            <w:tcMar>
              <w:top w:type="dxa" w:w="90"/>
              <w:left w:type="dxa" w:w="130"/>
              <w:bottom w:type="dxa" w:w="90"/>
              <w:right w:type="dxa" w:w="130"/>
            </w:tcMar>
          </w:tcPr>
          <w:p>
            <w:pPr>
              <w:spacing w:after="40"/>
            </w:pPr>
            <w:r>
              <w:rPr>
                <w:b w:val="false"/>
                <w:bCs w:val="false"/>
                <w:sz w:val="19"/>
                <w:szCs w:val="19"/>
              </w:rPr>
              <w:t xml:space="preserve">Record identity boundary</w:t>
            </w:r>
          </w:p>
        </w:tc>
        <w:tc>
          <w:tcPr>
            <w:tcW w:type="dxa" w:w="1500"/>
            <w:tcMar>
              <w:top w:type="dxa" w:w="90"/>
              <w:left w:type="dxa" w:w="130"/>
              <w:bottom w:type="dxa" w:w="90"/>
              <w:right w:type="dxa" w:w="130"/>
            </w:tcMar>
          </w:tcPr>
          <w:p>
            <w:pPr>
              <w:spacing w:after="40"/>
            </w:pPr>
            <w:r>
              <w:rPr>
                <w:b w:val="false"/>
                <w:bCs w:val="false"/>
                <w:sz w:val="19"/>
                <w:szCs w:val="19"/>
              </w:rPr>
              <w:t xml:space="preserve">New</w:t>
            </w:r>
          </w:p>
        </w:tc>
        <w:tc>
          <w:tcPr>
            <w:tcW w:type="dxa" w:w="2460"/>
            <w:tcMar>
              <w:top w:type="dxa" w:w="90"/>
              <w:left w:type="dxa" w:w="130"/>
              <w:bottom w:type="dxa" w:w="90"/>
              <w:right w:type="dxa" w:w="130"/>
            </w:tcMar>
          </w:tcPr>
          <w:p>
            <w:pPr>
              <w:spacing w:after="40"/>
            </w:pPr>
            <w:r>
              <w:rPr>
                <w:b w:val="false"/>
                <w:bCs w:val="false"/>
                <w:sz w:val="19"/>
                <w:szCs w:val="19"/>
              </w:rPr>
              <w:t xml:space="preserve">Schema relation to future identity must be decided</w:t>
            </w:r>
          </w:p>
        </w:tc>
      </w:tr>
      <w:tr>
        <w:trPr>
          <w:tblHeader w:val="off"/>
        </w:trPr>
        <w:tc>
          <w:tcPr>
            <w:tcW w:type="dxa" w:w="1200"/>
            <w:tcMar>
              <w:top w:type="dxa" w:w="90"/>
              <w:left w:type="dxa" w:w="130"/>
              <w:bottom w:type="dxa" w:w="90"/>
              <w:right w:type="dxa" w:w="130"/>
            </w:tcMar>
          </w:tcPr>
          <w:p>
            <w:pPr>
              <w:spacing w:after="40"/>
            </w:pPr>
            <w:r>
              <w:rPr>
                <w:b/>
                <w:bCs/>
                <w:sz w:val="19"/>
                <w:szCs w:val="19"/>
              </w:rPr>
              <w:t xml:space="preserve">FR19</w:t>
            </w:r>
          </w:p>
        </w:tc>
        <w:tc>
          <w:tcPr>
            <w:tcW w:type="dxa" w:w="4200"/>
            <w:tcMar>
              <w:top w:type="dxa" w:w="90"/>
              <w:left w:type="dxa" w:w="130"/>
              <w:bottom w:type="dxa" w:w="90"/>
              <w:right w:type="dxa" w:w="130"/>
            </w:tcMar>
          </w:tcPr>
          <w:p>
            <w:pPr>
              <w:spacing w:after="40"/>
            </w:pPr>
            <w:r>
              <w:rPr>
                <w:b w:val="false"/>
                <w:bCs w:val="false"/>
                <w:sz w:val="19"/>
                <w:szCs w:val="19"/>
              </w:rPr>
              <w:t xml:space="preserve">Beta learning scope</w:t>
            </w:r>
          </w:p>
        </w:tc>
        <w:tc>
          <w:tcPr>
            <w:tcW w:type="dxa" w:w="1500"/>
            <w:tcMar>
              <w:top w:type="dxa" w:w="90"/>
              <w:left w:type="dxa" w:w="130"/>
              <w:bottom w:type="dxa" w:w="90"/>
              <w:right w:type="dxa" w:w="130"/>
            </w:tcMar>
          </w:tcPr>
          <w:p>
            <w:pPr>
              <w:spacing w:after="40"/>
            </w:pPr>
            <w:r>
              <w:rPr>
                <w:b w:val="false"/>
                <w:bCs w:val="false"/>
                <w:sz w:val="19"/>
                <w:szCs w:val="19"/>
              </w:rPr>
              <w:t xml:space="preserve">New</w:t>
            </w:r>
          </w:p>
        </w:tc>
        <w:tc>
          <w:tcPr>
            <w:tcW w:type="dxa" w:w="2460"/>
            <w:tcMar>
              <w:top w:type="dxa" w:w="90"/>
              <w:left w:type="dxa" w:w="130"/>
              <w:bottom w:type="dxa" w:w="90"/>
              <w:right w:type="dxa" w:w="130"/>
            </w:tcMar>
          </w:tcPr>
          <w:p>
            <w:pPr>
              <w:spacing w:after="40"/>
            </w:pPr>
            <w:r>
              <w:rPr>
                <w:b w:val="false"/>
                <w:bCs w:val="false"/>
                <w:sz w:val="19"/>
                <w:szCs w:val="19"/>
              </w:rPr>
              <w:t xml:space="preserve">How, or whether, the beta learns must be decided</w:t>
            </w:r>
          </w:p>
        </w:tc>
      </w:tr>
    </w:tbl>
    <w:p>
      <w:pPr>
        <w:pStyle w:val="Heading2"/>
        <w:spacing w:after="120" w:before="240"/>
      </w:pPr>
      <w:r>
        <w:t xml:space="preserve">FR01 — Mobile entry and routes (amended)</w:t>
      </w:r>
    </w:p>
    <w:p>
      <w:pPr>
        <w:spacing w:after="140"/>
      </w:pPr>
      <w:r>
        <w:t xml:space="preserve">The PWA shall open a published entry pack using allowlisted content, locale and scenario identifiers. Unknown or retired identifiers shall show a safe fallback. Links may identify content, never a person or inferred ideology. First use shall not require account creation or installation.</w:t>
      </w:r>
    </w:p>
    <w:p>
      <w:pPr>
        <w:spacing w:after="140"/>
      </w:pPr>
      <w:r>
        <w:t xml:space="preserve">Added in v0.3: the browse list and button route shall be implemented and pass its acceptance evidence before the swipeable reel is treated as complete. Where the two diverge, the list route defines required behaviour.</w:t>
      </w:r>
    </w:p>
    <w:p>
      <w:pPr>
        <w:pStyle w:val="Heading2"/>
        <w:spacing w:after="120" w:before="240"/>
      </w:pPr>
      <w:r>
        <w:t xml:space="preserve">FR02 — User-chosen presentation (amended)</w:t>
      </w:r>
    </w:p>
    <w:p>
      <w:pPr>
        <w:spacing w:after="140"/>
      </w:pPr>
      <w:r>
        <w:t xml:space="preserve">Users shall be able to browse or select entry doors, change language and presentation, and choose a fictional or personal route. The app shall not infer cultural, political or personal identity from a link, location, appearance, name or browsing history. The taxonomy shall be versioned and revisable.</w:t>
      </w:r>
    </w:p>
    <w:p>
      <w:pPr>
        <w:spacing w:after="140"/>
      </w:pPr>
      <w:r>
        <w:t xml:space="preserve">Added in v0.3: the taxonomy review shall record a decision on the three non-situational doors identified in section 2, and the recorded decision shall accompany the taxonomy version.</w:t>
      </w:r>
    </w:p>
    <w:p>
      <w:pPr>
        <w:pStyle w:val="Heading2"/>
        <w:spacing w:after="120" w:before="240"/>
      </w:pPr>
      <w:r>
        <w:t xml:space="preserve">FR16 — User control and operational privacy (amended)</w:t>
      </w:r>
    </w:p>
    <w:p>
      <w:pPr>
        <w:spacing w:after="140"/>
      </w:pPr>
      <w:r>
        <w:t xml:space="preserve">Provide a stable Exit action, privacy explanation, and a way to report confusing or inappropriate content without silently attaching session contents. Collect essential operational telemetry only; do not collect reflection text, motivation labels, source text, inferred ideology, detailed personal activity trails or contact details in telemetry. Review hosting and platform logs before release.</w:t>
      </w:r>
    </w:p>
    <w:p>
      <w:pPr>
        <w:spacing w:after="140"/>
      </w:pPr>
      <w:r>
        <w:rPr>
          <w:b/>
          <w:bCs/>
        </w:rPr>
        <w:t xml:space="preserve">Added in v0.3. </w:t>
      </w:r>
      <w:r>
        <w:rPr>
          <w:b w:val="false"/>
          <w:bCs w:val="false"/>
        </w:rPr>
        <w:t xml:space="preserve">A reviewed manual report route shall be specified as the fallback and shall satisfy this requirement on its own. The route shall compose and preview report text, show the user exactly what would leave the device, and require explicit approval before anything is transmitted or copied out. No approved report endpoint is required for this requirement to pass. The reason for this amendment: in v0.2 a required capability depended on an undecided item in section 9, which meant the requirement could not be satisfied at its gate.</w:t>
      </w:r>
    </w:p>
    <w:p>
      <w:pPr>
        <w:pStyle w:val="Heading2"/>
        <w:spacing w:after="120" w:before="240"/>
      </w:pPr>
      <w:r>
        <w:t xml:space="preserve">FR17 — Decision register (new)</w:t>
      </w:r>
    </w:p>
    <w:p>
      <w:pPr>
        <w:spacing w:after="140"/>
      </w:pPr>
      <w:r>
        <w:t xml:space="preserve">The project shall maintain a decision register recording, for every item in section 9: the decision taken, the person who took it, the date, and the evidence relied on. A deliberate decision not to decide is a valid entry and shall name the gate at which it will be revisited.</w:t>
      </w:r>
    </w:p>
    <w:p>
      <w:pPr>
        <w:spacing w:after="140"/>
      </w:pPr>
      <w:r>
        <w:t xml:space="preserve">No phase gate shall pass while an item the register binds to that gate is unrecorded. Section 8 names the binding.</w:t>
      </w:r>
    </w:p>
    <w:p>
      <w:pPr>
        <w:spacing w:after="140"/>
      </w:pPr>
      <w:r>
        <w:t xml:space="preserve">This requirement adds no position on any open item. It requires only that an answer exist, be attributable and be dated before work proceeds past the point where the answer constrains it.</w:t>
      </w:r>
    </w:p>
    <w:p>
      <w:pPr>
        <w:pStyle w:val="Heading2"/>
        <w:spacing w:after="120" w:before="240"/>
      </w:pPr>
      <w:r>
        <w:t xml:space="preserve">FR18 — Record identity boundary (new)</w:t>
      </w:r>
    </w:p>
    <w:p>
      <w:pPr>
        <w:spacing w:after="140"/>
      </w:pPr>
      <w:r>
        <w:t xml:space="preserve">Before the saved-record schema is implemented, the project shall decide and record whether a saved local record may ever be associated with a durable identity, and shall state the consequence of that decision for capability currently deferred from beta.</w:t>
      </w:r>
    </w:p>
    <w:p>
      <w:pPr>
        <w:spacing w:after="140"/>
      </w:pPr>
      <w:r>
        <w:t xml:space="preserve">Rationale. FR12 requires no account and a device-local journal. The architecture is separately required to leave room for future use in group settings. Group capability needs some stable identity to attach membership and shared content to. Whether a local record can ever be associated with such an identity is settled in practice by the record schema, which is implemented well before the deferred capability is revisited. The decision is therefore made at schema time whether or not anyone makes it deliberately.</w:t>
      </w:r>
    </w:p>
    <w:p>
      <w:pPr>
        <w:spacing w:after="140"/>
      </w:pPr>
      <w:r>
        <w:t xml:space="preserve">Either answer satisfies this requirement. A decision that local records shall remain permanently unassociable is a complete answer, and shall be recorded together with the statement that future group capability would begin from content authored separately rather than from existing reflections. A decision to preserve a seam shall specify what the seam is and what it does not permit.</w:t>
      </w:r>
    </w:p>
    <w:p>
      <w:pPr>
        <w:spacing w:after="140"/>
      </w:pPr>
      <w:r>
        <w:t xml:space="preserve">This requirement does not approve, schedule or scope any group capability.</w:t>
      </w:r>
    </w:p>
    <w:p>
      <w:pPr>
        <w:pStyle w:val="Heading2"/>
        <w:spacing w:after="120" w:before="240"/>
      </w:pPr>
      <w:r>
        <w:t xml:space="preserve">FR19 — Beta learning scope (new)</w:t>
      </w:r>
    </w:p>
    <w:p>
      <w:pPr>
        <w:spacing w:after="140"/>
      </w:pPr>
      <w:r>
        <w:t xml:space="preserve">Before the thin shell is implemented, the project shall decide and record what, if anything, the beta is expected to learn about whether participants found the experience worthwhile, and by what means.</w:t>
      </w:r>
    </w:p>
    <w:p>
      <w:pPr>
        <w:spacing w:after="140"/>
      </w:pPr>
      <w:r>
        <w:t xml:space="preserve">Rationale. The stated wish is to learn whether participants felt they got something out of the app, preferably from a behavioural sign rather than a direct question. FR15 prohibits asking at completion, abandonment or return, which are the moments such a sign would be read. FR16 prohibits detailed personal activity trails in telemetry. Candidate signals — voluntary saving, a self-chosen response category, voluntary return, a participant-chosen revision — therefore exist only on the user’s own device, where they cannot be observed. The requirement as stated and the boundary as agreed cannot both be satisfied without a decision.</w:t>
      </w:r>
    </w:p>
    <w:p>
      <w:pPr>
        <w:spacing w:after="140"/>
      </w:pPr>
      <w:r>
        <w:t xml:space="preserve">A recorded decision shall take one of these forms, and shall not be left implicit:</w:t>
      </w:r>
    </w:p>
    <w:p>
      <w:pPr>
        <w:pStyle w:val="ListParagraph"/>
        <w:numPr>
          <w:ilvl w:val="0"/>
          <w:numId w:val="2"/>
        </w:numPr>
        <w:spacing w:after="80"/>
      </w:pPr>
      <w:r>
        <w:t xml:space="preserve">The beta does not answer the question, and this is accepted.</w:t>
      </w:r>
    </w:p>
    <w:p>
      <w:pPr>
        <w:pStyle w:val="ListParagraph"/>
        <w:numPr>
          <w:ilvl w:val="0"/>
          <w:numId w:val="2"/>
        </w:numPr>
        <w:spacing w:after="80"/>
      </w:pPr>
      <w:r>
        <w:t xml:space="preserve">The question is answered outside the app, by direct contact with invited participants, within the non-formal-pilot boundary and without in-app prompts of any kind.</w:t>
      </w:r>
    </w:p>
    <w:p>
      <w:pPr>
        <w:pStyle w:val="ListParagraph"/>
        <w:numPr>
          <w:ilvl w:val="0"/>
          <w:numId w:val="2"/>
        </w:numPr>
        <w:spacing w:after="80"/>
      </w:pPr>
      <w:r>
        <w:t xml:space="preserve">A specific aggregate signal is approved, named event by event, after field-level privacy review, with its retention stated.</w:t>
      </w:r>
    </w:p>
    <w:p>
      <w:pPr>
        <w:spacing w:after="140"/>
      </w:pPr>
      <w:r>
        <w:t xml:space="preserve">Until this is recorded, no client-side counter, event or stored flag whose purpose is to indicate value, engagement or benefit shall be implemented. FR15 and FR16 are not relaxed by this requirement.</w:t>
      </w:r>
    </w:p>
    <w:p>
      <w:pPr>
        <w:pStyle w:val="Heading1"/>
        <w:spacing w:after="160" w:before="320"/>
      </w:pPr>
      <w:r>
        <w:t xml:space="preserve">5. Technical architecture and data boundaries</w:t>
      </w:r>
    </w:p>
    <w:p>
      <w:pPr>
        <w:spacing w:after="140"/>
      </w:pPr>
      <w:r>
        <w:t xml:space="preserve">The logical components and data handling principles of v0.2 are carried forward unchanged: presentation, content, local session, export and delete, operational, and the future capability boundary. Core flows must function without transmitting personal reflection text to an app server. No account or server-side journal in beta.</w:t>
      </w:r>
    </w:p>
    <w:p>
      <w:pPr>
        <w:pStyle w:val="Heading2"/>
        <w:spacing w:after="120" w:before="240"/>
      </w:pPr>
      <w:r>
        <w:t xml:space="preserve">Media precedence (new)</w:t>
      </w:r>
    </w:p>
    <w:p>
      <w:pPr>
        <w:spacing w:after="140"/>
      </w:pPr>
      <w:r>
        <w:t xml:space="preserve">The project shall record whether authored audiovisual material is the content of a scenario or an enhancement to a text route that carries the content on its own.</w:t>
      </w:r>
    </w:p>
    <w:p>
      <w:pPr>
        <w:spacing w:after="140"/>
      </w:pPr>
      <w:r>
        <w:t xml:space="preserve">Rationale. The creative direction is pre-produced audiovisual. Section 6 requires text alternatives that carry the core content, and the proposed minimum offline policy is a reliable text route with optional network media. These are consistent only if the text route is complete in itself. If it is, the audiovisual material is an enhancement and the production schedule can be sized accordingly. If it is not, the text alternatives do not satisfy section 6. One of the two is true and the answer governs the production schedule, the offline policy and the accessibility work.</w:t>
      </w:r>
    </w:p>
    <w:p>
      <w:pPr>
        <w:spacing w:after="140"/>
      </w:pPr>
      <w:r>
        <w:t xml:space="preserve">This requirement does not authorize asset production of any kind.</w:t>
      </w:r>
    </w:p>
    <w:p>
      <w:pPr>
        <w:pStyle w:val="Heading1"/>
        <w:spacing w:after="160" w:before="320"/>
      </w:pPr>
      <w:r>
        <w:t xml:space="preserve">6. Accessibility, safety and content review</w:t>
      </w:r>
    </w:p>
    <w:p>
      <w:pPr>
        <w:spacing w:after="140"/>
      </w:pPr>
      <w:r>
        <w:t xml:space="preserve">Carried forward from v0.2: critical choices available without relying solely on colour, sound or video; captions and transcripts for speech; text alternatives for key visual content; keyboard navigation; readable contrast; visible focus; scalable text; reduced-motion handling. No requirement to disclose personal experience. Fictional and neutral alternatives offered. No shame, forced reconciliation, forced disclosure, or implied correct moral conclusion. A content correction and report pathway that sends only what the user previews and approves. Accountable product, engineering, content and privacy owners assigned before release.</w:t>
      </w:r>
    </w:p>
    <w:p>
      <w:pPr>
        <w:pStyle w:val="Heading2"/>
        <w:spacing w:after="120" w:before="240"/>
      </w:pPr>
      <w:r>
        <w:t xml:space="preserve">Amendments in v0.3</w:t>
      </w:r>
    </w:p>
    <w:p>
      <w:pPr>
        <w:pStyle w:val="ListParagraph"/>
        <w:numPr>
          <w:ilvl w:val="0"/>
          <w:numId w:val="2"/>
        </w:numPr>
        <w:spacing w:after="140"/>
      </w:pPr>
      <w:r>
        <w:rPr>
          <w:b/>
          <w:bCs/>
        </w:rPr>
        <w:t xml:space="preserve">Screen reader evidence. </w:t>
      </w:r>
      <w:r>
        <w:rPr>
          <w:b w:val="false"/>
          <w:bCs w:val="false"/>
        </w:rPr>
        <w:t xml:space="preserve">Accessibility evidence shall cover both entry routes — the list and button route and the visual reel — under a screen reader, and shall record the reader and platform used. The mockup QA of 21 October 2026 records that screen readers were not tested, so no existing evidence covers this.</w:t>
      </w:r>
    </w:p>
    <w:p>
      <w:pPr>
        <w:pStyle w:val="ListParagraph"/>
        <w:numPr>
          <w:ilvl w:val="0"/>
          <w:numId w:val="2"/>
        </w:numPr>
        <w:spacing w:after="140"/>
      </w:pPr>
      <w:r>
        <w:rPr>
          <w:b/>
          <w:bCs/>
        </w:rPr>
        <w:t xml:space="preserve">Safety authoring guidance. </w:t>
      </w:r>
      <w:r>
        <w:rPr>
          <w:b w:val="false"/>
          <w:bCs w:val="false"/>
        </w:rPr>
        <w:t xml:space="preserve">Before any scenario is published under the "Unresolved personal tension" or "Values in tension" doors, the content owner shall record what the app presents if a user writes something indicating risk of harm. FR08 prohibits the app from acting, so the authored copy at that moment is the whole of the safeguard and shall be reviewed as such.</w:t>
      </w:r>
    </w:p>
    <w:p>
      <w:pPr>
        <w:pStyle w:val="ListParagraph"/>
        <w:numPr>
          <w:ilvl w:val="0"/>
          <w:numId w:val="2"/>
        </w:numPr>
        <w:spacing w:after="140"/>
      </w:pPr>
      <w:r>
        <w:rPr>
          <w:b/>
          <w:bCs/>
        </w:rPr>
        <w:t xml:space="preserve">Authoring load. </w:t>
      </w:r>
      <w:r>
        <w:rPr>
          <w:b w:val="false"/>
          <w:bCs w:val="false"/>
        </w:rPr>
        <w:t xml:space="preserve">One scenario shall be authored complete — prompts, practice, branches, text alternatives, captions, transcript, locale assets and independent review — and its actual cost recorded, before an initial launch subset is selected. Nine doors do not mean nine launch-ready scenarios.</w:t>
      </w:r>
    </w:p>
    <w:p>
      <w:pPr>
        <w:pStyle w:val="ListParagraph"/>
        <w:numPr>
          <w:ilvl w:val="0"/>
          <w:numId w:val="2"/>
        </w:numPr>
        <w:spacing w:after="140"/>
      </w:pPr>
      <w:r>
        <w:rPr>
          <w:b/>
          <w:bCs/>
        </w:rPr>
        <w:t xml:space="preserve">Addendum anchoring. </w:t>
      </w:r>
      <w:r>
        <w:rPr>
          <w:b w:val="false"/>
          <w:bCs w:val="false"/>
        </w:rPr>
        <w:t xml:space="preserve">The voice-first and social-entry addenda of 21 October 2026 both cite the v0.1 specification as unchanged and were written on the day v0.2 superseded it. Any scope drawn from either shall be re-anchored to the governing specification first. Both remain demonstrators and authorize nothing.</w:t>
      </w:r>
    </w:p>
    <w:p>
      <w:pPr>
        <w:pStyle w:val="Heading1"/>
        <w:spacing w:after="160" w:before="320"/>
      </w:pPr>
      <w:r>
        <w:t xml:space="preserve">7. Acceptance tests</w:t>
      </w:r>
    </w:p>
    <w:p>
      <w:pPr>
        <w:spacing w:after="140"/>
      </w:pPr>
      <w:r>
        <w:t xml:space="preserve">AT01 to AT17 are carried forward from v0.2. Amendments and the new test follow.</w:t>
      </w:r>
    </w:p>
    <w:p>
      <w:pPr>
        <w:pStyle w:val="Heading2"/>
        <w:spacing w:after="120" w:before="240"/>
      </w:pPr>
      <w:r>
        <w:t xml:space="preserve">AT10 Save and resume (amended)</w:t>
      </w:r>
    </w:p>
    <w:p>
      <w:pPr>
        <w:spacing w:after="140"/>
      </w:pPr>
      <w:r>
        <w:t xml:space="preserve">Nothing is durably saved before an explicit Save action. A saved session can be reopened on the same browser after each of the following, which together define normal storage conditions for this test: a page reload; a browser restart; the device being powered off and on. Behaviour shall also be recorded, without being required to succeed, under quota exhaustion, storage eviction and the user clearing site data. Where a record cannot be recovered the app shall say so plainly and shall not report a false success.</w:t>
      </w:r>
    </w:p>
    <w:p>
      <w:pPr>
        <w:spacing w:after="140"/>
      </w:pPr>
      <w:r>
        <w:t xml:space="preserve">Reason for the amendment: v0.2 required reopening under "normal storage conditions" without defining the phrase, leaving a gate reviewer to judge it.</w:t>
      </w:r>
    </w:p>
    <w:p>
      <w:pPr>
        <w:pStyle w:val="Heading2"/>
        <w:spacing w:after="120" w:before="240"/>
      </w:pPr>
      <w:r>
        <w:t xml:space="preserve">AT12 Telemetry and log review (amended)</w:t>
      </w:r>
    </w:p>
    <w:p>
      <w:pPr>
        <w:spacing w:after="140"/>
      </w:pPr>
      <w:r>
        <w:t xml:space="preserve">Telemetry and hosting and error logs contain no reflection text, motivation labels, source text or unnecessary identifiers. Testing shall use unique fictional canary strings pushed through every flow, every failure path and the report route, and shall inspect browser requests and hosting, CDN, access and error logs. The review shall additionally confirm that no counter, event or flag prohibited by FR19 has been implemented.</w:t>
      </w:r>
    </w:p>
    <w:p>
      <w:pPr>
        <w:pStyle w:val="Heading2"/>
        <w:spacing w:after="120" w:before="240"/>
      </w:pPr>
      <w:r>
        <w:t xml:space="preserve">AT15 Device accessibility (amended)</w:t>
      </w:r>
    </w:p>
    <w:p>
      <w:pPr>
        <w:spacing w:after="140"/>
      </w:pPr>
      <w:r>
        <w:t xml:space="preserve">Critical flows are tested on representative phones and include non-video and non-audio alternatives, keyboard and focus support where applicable, and scalable text. Evidence shall name the phone and browser matrix, record basic tablet and desktop checks, and cover both entry routes under a named screen reader on a named platform. Modal focus trapping and large-text layout shall be included.</w:t>
      </w:r>
    </w:p>
    <w:p>
      <w:pPr>
        <w:pStyle w:val="Heading2"/>
        <w:spacing w:after="120" w:before="240"/>
      </w:pPr>
      <w:r>
        <w:t xml:space="preserve">AT18 Decision register completeness (new)</w:t>
      </w:r>
    </w:p>
    <w:p>
      <w:pPr>
        <w:spacing w:after="140"/>
      </w:pPr>
      <w:r>
        <w:t xml:space="preserve">At each gate, every section 9 item bound to that gate by section 8 has an entry in the decision register carrying a decision, a named person, a date and the evidence relied on. A recorded decision to defer names the gate at which it will be revisited. An unrecorded item fails this test and blocks the gate.</w:t>
      </w:r>
    </w:p>
    <w:p>
      <w:pPr>
        <w:pStyle w:val="Heading1"/>
        <w:spacing w:after="160" w:before="320"/>
      </w:pPr>
      <w:r>
        <w:t xml:space="preserve">8. Delivery sequence and release gates</w:t>
      </w:r>
    </w:p>
    <w:p>
      <w:pPr>
        <w:spacing w:after="140"/>
      </w:pPr>
      <w:r>
        <w:t xml:space="preserve">The delivery sequence of v0.2 is carried forward. This revision binds the open items to the gates they constrain, so that an unmade decision stops work before it has silently been made by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30"/>
        <w:gridCol w:w="2530"/>
      </w:tblGrid>
      <w:tr>
        <w:trPr>
          <w:tblHeader/>
        </w:trPr>
        <w:tc>
          <w:tcPr>
            <w:tcW w:type="dxa" w:w="900"/>
            <w:shd w:fill="EDEFEC" w:val="clear"/>
            <w:tcMar>
              <w:top w:type="dxa" w:w="90"/>
              <w:left w:type="dxa" w:w="130"/>
              <w:bottom w:type="dxa" w:w="90"/>
              <w:right w:type="dxa" w:w="130"/>
            </w:tcMar>
          </w:tcPr>
          <w:p>
            <w:pPr>
              <w:spacing w:after="40"/>
            </w:pPr>
            <w:r>
              <w:rPr>
                <w:b/>
                <w:bCs/>
                <w:sz w:val="19"/>
                <w:szCs w:val="19"/>
              </w:rPr>
              <w:t xml:space="preserve">Phase</w:t>
            </w:r>
          </w:p>
        </w:tc>
        <w:tc>
          <w:tcPr>
            <w:tcW w:type="dxa" w:w="3400"/>
            <w:shd w:fill="EDEFEC" w:val="clear"/>
            <w:tcMar>
              <w:top w:type="dxa" w:w="90"/>
              <w:left w:type="dxa" w:w="130"/>
              <w:bottom w:type="dxa" w:w="90"/>
              <w:right w:type="dxa" w:w="130"/>
            </w:tcMar>
          </w:tcPr>
          <w:p>
            <w:pPr>
              <w:spacing w:after="40"/>
            </w:pPr>
            <w:r>
              <w:rPr>
                <w:b/>
                <w:bCs/>
                <w:sz w:val="19"/>
                <w:szCs w:val="19"/>
              </w:rPr>
              <w:t xml:space="preserve">Deliverable</w:t>
            </w:r>
          </w:p>
        </w:tc>
        <w:tc>
          <w:tcPr>
            <w:tcW w:type="dxa" w:w="2530"/>
            <w:shd w:fill="EDEFEC" w:val="clear"/>
            <w:tcMar>
              <w:top w:type="dxa" w:w="90"/>
              <w:left w:type="dxa" w:w="130"/>
              <w:bottom w:type="dxa" w:w="90"/>
              <w:right w:type="dxa" w:w="130"/>
            </w:tcMar>
          </w:tcPr>
          <w:p>
            <w:pPr>
              <w:spacing w:after="40"/>
            </w:pPr>
            <w:r>
              <w:rPr>
                <w:b/>
                <w:bCs/>
                <w:sz w:val="19"/>
                <w:szCs w:val="19"/>
              </w:rPr>
              <w:t xml:space="preserve">Decisions that must be recorded</w:t>
            </w:r>
          </w:p>
        </w:tc>
        <w:tc>
          <w:tcPr>
            <w:tcW w:type="dxa" w:w="2530"/>
            <w:shd w:fill="EDEFEC" w:val="clear"/>
            <w:tcMar>
              <w:top w:type="dxa" w:w="90"/>
              <w:left w:type="dxa" w:w="130"/>
              <w:bottom w:type="dxa" w:w="90"/>
              <w:right w:type="dxa" w:w="130"/>
            </w:tcMar>
          </w:tcPr>
          <w:p>
            <w:pPr>
              <w:spacing w:after="40"/>
            </w:pPr>
            <w:r>
              <w:rPr>
                <w:b/>
                <w:bCs/>
                <w:sz w:val="19"/>
                <w:szCs w:val="19"/>
              </w:rPr>
              <w:t xml:space="preserve">Tests</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0</w:t>
            </w:r>
          </w:p>
        </w:tc>
        <w:tc>
          <w:tcPr>
            <w:tcW w:type="dxa" w:w="3400"/>
            <w:tcMar>
              <w:top w:type="dxa" w:w="90"/>
              <w:left w:type="dxa" w:w="130"/>
              <w:bottom w:type="dxa" w:w="90"/>
              <w:right w:type="dxa" w:w="130"/>
            </w:tcMar>
          </w:tcPr>
          <w:p>
            <w:pPr>
              <w:spacing w:after="40"/>
            </w:pPr>
            <w:r>
              <w:rPr>
                <w:b w:val="false"/>
                <w:bCs w:val="false"/>
                <w:sz w:val="19"/>
                <w:szCs w:val="19"/>
              </w:rPr>
              <w:t xml:space="preserve">Agree scope: requirements, content principles, owners, scenario subset, device matrix</w:t>
            </w:r>
          </w:p>
        </w:tc>
        <w:tc>
          <w:tcPr>
            <w:tcW w:type="dxa" w:w="2530"/>
            <w:tcMar>
              <w:top w:type="dxa" w:w="90"/>
              <w:left w:type="dxa" w:w="130"/>
              <w:bottom w:type="dxa" w:w="90"/>
              <w:right w:type="dxa" w:w="130"/>
            </w:tcMar>
          </w:tcPr>
          <w:p>
            <w:pPr>
              <w:spacing w:after="40"/>
            </w:pPr>
            <w:r>
              <w:rPr>
                <w:b w:val="false"/>
                <w:bCs w:val="false"/>
                <w:sz w:val="19"/>
                <w:szCs w:val="19"/>
              </w:rPr>
              <w:t xml:space="preserve">Owners (all four). Audience. Media precedence (§5). Report route (FR16). Taxonomy decision on the three non-situational doors</w:t>
            </w:r>
          </w:p>
        </w:tc>
        <w:tc>
          <w:tcPr>
            <w:tcW w:type="dxa" w:w="2530"/>
            <w:tcMar>
              <w:top w:type="dxa" w:w="90"/>
              <w:left w:type="dxa" w:w="130"/>
              <w:bottom w:type="dxa" w:w="90"/>
              <w:right w:type="dxa" w:w="130"/>
            </w:tcMar>
          </w:tcPr>
          <w:p>
            <w:pPr>
              <w:spacing w:after="40"/>
            </w:pPr>
            <w:r>
              <w:rPr>
                <w:b w:val="false"/>
                <w:bCs w:val="false"/>
                <w:sz w:val="19"/>
                <w:szCs w:val="19"/>
              </w:rPr>
              <w:t xml:space="preserve">AT18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1</w:t>
            </w:r>
          </w:p>
        </w:tc>
        <w:tc>
          <w:tcPr>
            <w:tcW w:type="dxa" w:w="3400"/>
            <w:tcMar>
              <w:top w:type="dxa" w:w="90"/>
              <w:left w:type="dxa" w:w="130"/>
              <w:bottom w:type="dxa" w:w="90"/>
              <w:right w:type="dxa" w:w="130"/>
            </w:tcMar>
          </w:tcPr>
          <w:p>
            <w:pPr>
              <w:spacing w:after="40"/>
            </w:pPr>
            <w:r>
              <w:rPr>
                <w:b w:val="false"/>
                <w:bCs w:val="false"/>
                <w:sz w:val="19"/>
                <w:szCs w:val="19"/>
              </w:rPr>
              <w:t xml:space="preserve">Thin PWA shell: navigation, seven stages, memory drafts, routes, privacy guard, Exit</w:t>
            </w:r>
          </w:p>
        </w:tc>
        <w:tc>
          <w:tcPr>
            <w:tcW w:type="dxa" w:w="2530"/>
            <w:tcMar>
              <w:top w:type="dxa" w:w="90"/>
              <w:left w:type="dxa" w:w="130"/>
              <w:bottom w:type="dxa" w:w="90"/>
              <w:right w:type="dxa" w:w="130"/>
            </w:tcMar>
          </w:tcPr>
          <w:p>
            <w:pPr>
              <w:spacing w:after="40"/>
            </w:pPr>
            <w:r>
              <w:rPr>
                <w:b w:val="false"/>
                <w:bCs w:val="false"/>
                <w:sz w:val="19"/>
                <w:szCs w:val="19"/>
              </w:rPr>
              <w:t xml:space="preserve">Beta learning scope (FR19). Record identity boundary (FR18)</w:t>
            </w:r>
          </w:p>
        </w:tc>
        <w:tc>
          <w:tcPr>
            <w:tcW w:type="dxa" w:w="2530"/>
            <w:tcMar>
              <w:top w:type="dxa" w:w="90"/>
              <w:left w:type="dxa" w:w="130"/>
              <w:bottom w:type="dxa" w:w="90"/>
              <w:right w:type="dxa" w:w="130"/>
            </w:tcMar>
          </w:tcPr>
          <w:p>
            <w:pPr>
              <w:spacing w:after="40"/>
            </w:pPr>
            <w:r>
              <w:rPr>
                <w:b w:val="false"/>
                <w:bCs w:val="false"/>
                <w:sz w:val="19"/>
                <w:szCs w:val="19"/>
              </w:rPr>
              <w:t xml:space="preserve">AT01–04, 06–09, 13, 16, 17,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2</w:t>
            </w:r>
          </w:p>
        </w:tc>
        <w:tc>
          <w:tcPr>
            <w:tcW w:type="dxa" w:w="3400"/>
            <w:tcMar>
              <w:top w:type="dxa" w:w="90"/>
              <w:left w:type="dxa" w:w="130"/>
              <w:bottom w:type="dxa" w:w="90"/>
              <w:right w:type="dxa" w:w="130"/>
            </w:tcMar>
          </w:tcPr>
          <w:p>
            <w:pPr>
              <w:spacing w:after="40"/>
            </w:pPr>
            <w:r>
              <w:rPr>
                <w:b w:val="false"/>
                <w:bCs w:val="false"/>
                <w:sz w:val="19"/>
                <w:szCs w:val="19"/>
              </w:rPr>
              <w:t xml:space="preserve">Reviewed content: versioned packs, deterministic branches, accessible alternatives</w:t>
            </w:r>
          </w:p>
        </w:tc>
        <w:tc>
          <w:tcPr>
            <w:tcW w:type="dxa" w:w="2530"/>
            <w:tcMar>
              <w:top w:type="dxa" w:w="90"/>
              <w:left w:type="dxa" w:w="130"/>
              <w:bottom w:type="dxa" w:w="90"/>
              <w:right w:type="dxa" w:w="130"/>
            </w:tcMar>
          </w:tcPr>
          <w:p>
            <w:pPr>
              <w:spacing w:after="40"/>
            </w:pPr>
            <w:r>
              <w:rPr>
                <w:b w:val="false"/>
                <w:bCs w:val="false"/>
                <w:sz w:val="19"/>
                <w:szCs w:val="19"/>
              </w:rPr>
              <w:t xml:space="preserve">Initial scenario subset, following the one-scenario costing in §6</w:t>
            </w:r>
          </w:p>
        </w:tc>
        <w:tc>
          <w:tcPr>
            <w:tcW w:type="dxa" w:w="2530"/>
            <w:tcMar>
              <w:top w:type="dxa" w:w="90"/>
              <w:left w:type="dxa" w:w="130"/>
              <w:bottom w:type="dxa" w:w="90"/>
              <w:right w:type="dxa" w:w="130"/>
            </w:tcMar>
          </w:tcPr>
          <w:p>
            <w:pPr>
              <w:spacing w:after="40"/>
            </w:pPr>
            <w:r>
              <w:rPr>
                <w:b w:val="false"/>
                <w:bCs w:val="false"/>
                <w:sz w:val="19"/>
                <w:szCs w:val="19"/>
              </w:rPr>
              <w:t xml:space="preserve">AT02, 06–08, 14, 15, 17,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3</w:t>
            </w:r>
          </w:p>
        </w:tc>
        <w:tc>
          <w:tcPr>
            <w:tcW w:type="dxa" w:w="3400"/>
            <w:tcMar>
              <w:top w:type="dxa" w:w="90"/>
              <w:left w:type="dxa" w:w="130"/>
              <w:bottom w:type="dxa" w:w="90"/>
              <w:right w:type="dxa" w:w="130"/>
            </w:tcMar>
          </w:tcPr>
          <w:p>
            <w:pPr>
              <w:spacing w:after="40"/>
            </w:pPr>
            <w:r>
              <w:rPr>
                <w:b w:val="false"/>
                <w:bCs w:val="false"/>
                <w:sz w:val="19"/>
                <w:szCs w:val="19"/>
              </w:rPr>
              <w:t xml:space="preserve">Local records: explicit save, resume, revisions, selected export, confirmed deletion</w:t>
            </w:r>
          </w:p>
        </w:tc>
        <w:tc>
          <w:tcPr>
            <w:tcW w:type="dxa" w:w="2530"/>
            <w:tcMar>
              <w:top w:type="dxa" w:w="90"/>
              <w:left w:type="dxa" w:w="130"/>
              <w:bottom w:type="dxa" w:w="90"/>
              <w:right w:type="dxa" w:w="130"/>
            </w:tcMar>
          </w:tcPr>
          <w:p>
            <w:pPr>
              <w:spacing w:after="40"/>
            </w:pPr>
            <w:r>
              <w:rPr>
                <w:b w:val="false"/>
                <w:bCs w:val="false"/>
                <w:sz w:val="19"/>
                <w:szCs w:val="19"/>
              </w:rPr>
              <w:t xml:space="preserve">Storage technology, eviction and deletion verification method</w:t>
            </w:r>
          </w:p>
        </w:tc>
        <w:tc>
          <w:tcPr>
            <w:tcW w:type="dxa" w:w="2530"/>
            <w:tcMar>
              <w:top w:type="dxa" w:w="90"/>
              <w:left w:type="dxa" w:w="130"/>
              <w:bottom w:type="dxa" w:w="90"/>
              <w:right w:type="dxa" w:w="130"/>
            </w:tcMar>
          </w:tcPr>
          <w:p>
            <w:pPr>
              <w:spacing w:after="40"/>
            </w:pPr>
            <w:r>
              <w:rPr>
                <w:b w:val="false"/>
                <w:bCs w:val="false"/>
                <w:sz w:val="19"/>
                <w:szCs w:val="19"/>
              </w:rPr>
              <w:t xml:space="preserve">AT10, 11,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4</w:t>
            </w:r>
          </w:p>
        </w:tc>
        <w:tc>
          <w:tcPr>
            <w:tcW w:type="dxa" w:w="3400"/>
            <w:tcMar>
              <w:top w:type="dxa" w:w="90"/>
              <w:left w:type="dxa" w:w="130"/>
              <w:bottom w:type="dxa" w:w="90"/>
              <w:right w:type="dxa" w:w="130"/>
            </w:tcMar>
          </w:tcPr>
          <w:p>
            <w:pPr>
              <w:spacing w:after="40"/>
            </w:pPr>
            <w:r>
              <w:rPr>
                <w:b w:val="false"/>
                <w:bCs w:val="false"/>
                <w:sz w:val="19"/>
                <w:szCs w:val="19"/>
              </w:rPr>
              <w:t xml:space="preserve">Offline and operations: cache and media policy, install and update, minimal logs, report route</w:t>
            </w:r>
          </w:p>
        </w:tc>
        <w:tc>
          <w:tcPr>
            <w:tcW w:type="dxa" w:w="2530"/>
            <w:tcMar>
              <w:top w:type="dxa" w:w="90"/>
              <w:left w:type="dxa" w:w="130"/>
              <w:bottom w:type="dxa" w:w="90"/>
              <w:right w:type="dxa" w:w="130"/>
            </w:tcMar>
          </w:tcPr>
          <w:p>
            <w:pPr>
              <w:spacing w:after="40"/>
            </w:pPr>
            <w:r>
              <w:rPr>
                <w:b w:val="false"/>
                <w:bCs w:val="false"/>
                <w:sz w:val="19"/>
                <w:szCs w:val="19"/>
              </w:rPr>
              <w:t xml:space="preserve">Offline and media policy. Telemetry events and retention</w:t>
            </w:r>
          </w:p>
        </w:tc>
        <w:tc>
          <w:tcPr>
            <w:tcW w:type="dxa" w:w="2530"/>
            <w:tcMar>
              <w:top w:type="dxa" w:w="90"/>
              <w:left w:type="dxa" w:w="130"/>
              <w:bottom w:type="dxa" w:w="90"/>
              <w:right w:type="dxa" w:w="130"/>
            </w:tcMar>
          </w:tcPr>
          <w:p>
            <w:pPr>
              <w:spacing w:after="40"/>
            </w:pPr>
            <w:r>
              <w:rPr>
                <w:b w:val="false"/>
                <w:bCs w:val="false"/>
                <w:sz w:val="19"/>
                <w:szCs w:val="19"/>
              </w:rPr>
              <w:t xml:space="preserve">AT05, 12, 15, 18</w:t>
            </w:r>
          </w:p>
        </w:tc>
      </w:tr>
      <w:tr>
        <w:trPr>
          <w:tblHeader w:val="off"/>
        </w:trPr>
        <w:tc>
          <w:tcPr>
            <w:tcW w:type="dxa" w:w="900"/>
            <w:tcMar>
              <w:top w:type="dxa" w:w="90"/>
              <w:left w:type="dxa" w:w="130"/>
              <w:bottom w:type="dxa" w:w="90"/>
              <w:right w:type="dxa" w:w="130"/>
            </w:tcMar>
          </w:tcPr>
          <w:p>
            <w:pPr>
              <w:spacing w:after="40"/>
            </w:pPr>
            <w:r>
              <w:rPr>
                <w:b/>
                <w:bCs/>
                <w:sz w:val="19"/>
                <w:szCs w:val="19"/>
              </w:rPr>
              <w:t xml:space="preserve">5</w:t>
            </w:r>
          </w:p>
        </w:tc>
        <w:tc>
          <w:tcPr>
            <w:tcW w:type="dxa" w:w="3400"/>
            <w:tcMar>
              <w:top w:type="dxa" w:w="90"/>
              <w:left w:type="dxa" w:w="130"/>
              <w:bottom w:type="dxa" w:w="90"/>
              <w:right w:type="dxa" w:w="130"/>
            </w:tcMar>
          </w:tcPr>
          <w:p>
            <w:pPr>
              <w:spacing w:after="40"/>
            </w:pPr>
            <w:r>
              <w:rPr>
                <w:b w:val="false"/>
                <w:bCs w:val="false"/>
                <w:sz w:val="19"/>
                <w:szCs w:val="19"/>
              </w:rPr>
              <w:t xml:space="preserve">Invited beta gate</w:t>
            </w:r>
          </w:p>
        </w:tc>
        <w:tc>
          <w:tcPr>
            <w:tcW w:type="dxa" w:w="2530"/>
            <w:tcMar>
              <w:top w:type="dxa" w:w="90"/>
              <w:left w:type="dxa" w:w="130"/>
              <w:bottom w:type="dxa" w:w="90"/>
              <w:right w:type="dxa" w:w="130"/>
            </w:tcMar>
          </w:tcPr>
          <w:p>
            <w:pPr>
              <w:spacing w:after="40"/>
            </w:pPr>
            <w:r>
              <w:rPr>
                <w:b w:val="false"/>
                <w:bCs w:val="false"/>
                <w:sz w:val="19"/>
                <w:szCs w:val="19"/>
              </w:rPr>
              <w:t xml:space="preserve">Recruitment policy. Any external learning (FR19 form two or three)</w:t>
            </w:r>
          </w:p>
        </w:tc>
        <w:tc>
          <w:tcPr>
            <w:tcW w:type="dxa" w:w="2530"/>
            <w:tcMar>
              <w:top w:type="dxa" w:w="90"/>
              <w:left w:type="dxa" w:w="130"/>
              <w:bottom w:type="dxa" w:w="90"/>
              <w:right w:type="dxa" w:w="130"/>
            </w:tcMar>
          </w:tcPr>
          <w:p>
            <w:pPr>
              <w:spacing w:after="40"/>
            </w:pPr>
            <w:r>
              <w:rPr>
                <w:b w:val="false"/>
                <w:bCs w:val="false"/>
                <w:sz w:val="19"/>
                <w:szCs w:val="19"/>
              </w:rPr>
              <w:t xml:space="preserve">AT01–18 complete</w:t>
            </w:r>
          </w:p>
        </w:tc>
      </w:tr>
    </w:tbl>
    <w:p>
      <w:pPr>
        <w:spacing w:after="140"/>
      </w:pPr>
      <w:r>
        <w:t xml:space="preserve">No phase begins solely because it appears here. Implementation and deployment require separate authorization. Each gate needs recorded evidence and a named reviewer, and a failing gate blocks invited-beta release.</w:t>
      </w:r>
    </w:p>
    <w:p>
      <w:pPr>
        <w:pStyle w:val="Heading1"/>
        <w:spacing w:after="160" w:before="320"/>
      </w:pPr>
      <w:r>
        <w:t xml:space="preserve">9. Open decisions and implementation choices</w:t>
      </w:r>
    </w:p>
    <w:p>
      <w:pPr>
        <w:spacing w:after="140"/>
      </w:pPr>
      <w:r>
        <w:t xml:space="preserve">The eight items of v0.2 section 9 are unchanged and remain open. This revision adds the gate each one blocks and, where a new requirement governs it, the requirement reference. No item is resolved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4500"/>
        <w:gridCol w:w="1200"/>
        <w:gridCol w:w="3200"/>
      </w:tblGrid>
      <w:tr>
        <w:trPr>
          <w:tblHeader/>
        </w:trPr>
        <w:tc>
          <w:tcPr>
            <w:tcW w:type="dxa" w:w="460"/>
            <w:shd w:fill="EDEFEC" w:val="clear"/>
            <w:tcMar>
              <w:top w:type="dxa" w:w="90"/>
              <w:left w:type="dxa" w:w="130"/>
              <w:bottom w:type="dxa" w:w="90"/>
              <w:right w:type="dxa" w:w="130"/>
            </w:tcMar>
          </w:tcPr>
          <w:p>
            <w:pPr>
              <w:spacing w:after="40"/>
            </w:pPr>
            <w:r>
              <w:rPr>
                <w:b/>
                <w:bCs/>
                <w:sz w:val="19"/>
                <w:szCs w:val="19"/>
              </w:rPr>
              <w:t xml:space="preserve">#</w:t>
            </w:r>
          </w:p>
        </w:tc>
        <w:tc>
          <w:tcPr>
            <w:tcW w:type="dxa" w:w="4500"/>
            <w:shd w:fill="EDEFEC" w:val="clear"/>
            <w:tcMar>
              <w:top w:type="dxa" w:w="90"/>
              <w:left w:type="dxa" w:w="130"/>
              <w:bottom w:type="dxa" w:w="90"/>
              <w:right w:type="dxa" w:w="130"/>
            </w:tcMar>
          </w:tcPr>
          <w:p>
            <w:pPr>
              <w:spacing w:after="40"/>
            </w:pPr>
            <w:r>
              <w:rPr>
                <w:b/>
                <w:bCs/>
                <w:sz w:val="19"/>
                <w:szCs w:val="19"/>
              </w:rPr>
              <w:t xml:space="preserve">Open decision</w:t>
            </w:r>
          </w:p>
        </w:tc>
        <w:tc>
          <w:tcPr>
            <w:tcW w:type="dxa" w:w="1200"/>
            <w:shd w:fill="EDEFEC" w:val="clear"/>
            <w:tcMar>
              <w:top w:type="dxa" w:w="90"/>
              <w:left w:type="dxa" w:w="130"/>
              <w:bottom w:type="dxa" w:w="90"/>
              <w:right w:type="dxa" w:w="130"/>
            </w:tcMar>
          </w:tcPr>
          <w:p>
            <w:pPr>
              <w:spacing w:after="40"/>
            </w:pPr>
            <w:r>
              <w:rPr>
                <w:b/>
                <w:bCs/>
                <w:sz w:val="19"/>
                <w:szCs w:val="19"/>
              </w:rPr>
              <w:t xml:space="preserve">Blocks</w:t>
            </w:r>
          </w:p>
        </w:tc>
        <w:tc>
          <w:tcPr>
            <w:tcW w:type="dxa" w:w="3200"/>
            <w:shd w:fill="EDEFEC" w:val="clear"/>
            <w:tcMar>
              <w:top w:type="dxa" w:w="90"/>
              <w:left w:type="dxa" w:w="130"/>
              <w:bottom w:type="dxa" w:w="90"/>
              <w:right w:type="dxa" w:w="130"/>
            </w:tcMar>
          </w:tcPr>
          <w:p>
            <w:pPr>
              <w:spacing w:after="40"/>
            </w:pPr>
            <w:r>
              <w:rPr>
                <w:b/>
                <w:bCs/>
                <w:sz w:val="19"/>
                <w:szCs w:val="19"/>
              </w:rPr>
              <w:t xml:space="preserve">Governed by</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1</w:t>
            </w:r>
          </w:p>
        </w:tc>
        <w:tc>
          <w:tcPr>
            <w:tcW w:type="dxa" w:w="4500"/>
            <w:tcMar>
              <w:top w:type="dxa" w:w="90"/>
              <w:left w:type="dxa" w:w="130"/>
              <w:bottom w:type="dxa" w:w="90"/>
              <w:right w:type="dxa" w:w="130"/>
            </w:tcMar>
          </w:tcPr>
          <w:p>
            <w:pPr>
              <w:spacing w:after="40"/>
            </w:pPr>
            <w:r>
              <w:rPr>
                <w:b w:val="false"/>
                <w:bCs w:val="false"/>
                <w:sz w:val="19"/>
                <w:szCs w:val="19"/>
              </w:rPr>
              <w:t xml:space="preserve">Initial scenario subset and production schedule for the nine provisional doors</w:t>
            </w:r>
          </w:p>
        </w:tc>
        <w:tc>
          <w:tcPr>
            <w:tcW w:type="dxa" w:w="1200"/>
            <w:tcMar>
              <w:top w:type="dxa" w:w="90"/>
              <w:left w:type="dxa" w:w="130"/>
              <w:bottom w:type="dxa" w:w="90"/>
              <w:right w:type="dxa" w:w="130"/>
            </w:tcMar>
          </w:tcPr>
          <w:p>
            <w:pPr>
              <w:spacing w:after="40"/>
            </w:pPr>
            <w:r>
              <w:rPr>
                <w:b w:val="false"/>
                <w:bCs w:val="false"/>
                <w:sz w:val="19"/>
                <w:szCs w:val="19"/>
              </w:rPr>
              <w:t xml:space="preserve">Gate 2</w:t>
            </w:r>
          </w:p>
        </w:tc>
        <w:tc>
          <w:tcPr>
            <w:tcW w:type="dxa" w:w="3200"/>
            <w:tcMar>
              <w:top w:type="dxa" w:w="90"/>
              <w:left w:type="dxa" w:w="130"/>
              <w:bottom w:type="dxa" w:w="90"/>
              <w:right w:type="dxa" w:w="130"/>
            </w:tcMar>
          </w:tcPr>
          <w:p>
            <w:pPr>
              <w:spacing w:after="40"/>
            </w:pPr>
            <w:r>
              <w:rPr>
                <w:b w:val="false"/>
                <w:bCs w:val="false"/>
                <w:sz w:val="19"/>
                <w:szCs w:val="19"/>
              </w:rPr>
              <w:t xml:space="preserve">FR17; §6 one-scenario costing</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2</w:t>
            </w:r>
          </w:p>
        </w:tc>
        <w:tc>
          <w:tcPr>
            <w:tcW w:type="dxa" w:w="4500"/>
            <w:tcMar>
              <w:top w:type="dxa" w:w="90"/>
              <w:left w:type="dxa" w:w="130"/>
              <w:bottom w:type="dxa" w:w="90"/>
              <w:right w:type="dxa" w:w="130"/>
            </w:tcMar>
          </w:tcPr>
          <w:p>
            <w:pPr>
              <w:spacing w:after="40"/>
            </w:pPr>
            <w:r>
              <w:rPr>
                <w:b w:val="false"/>
                <w:bCs w:val="false"/>
                <w:sz w:val="19"/>
                <w:szCs w:val="19"/>
              </w:rPr>
              <w:t xml:space="preserve">Whether beta participants may invite others; manual versus product invitations</w:t>
            </w:r>
          </w:p>
        </w:tc>
        <w:tc>
          <w:tcPr>
            <w:tcW w:type="dxa" w:w="1200"/>
            <w:tcMar>
              <w:top w:type="dxa" w:w="90"/>
              <w:left w:type="dxa" w:w="130"/>
              <w:bottom w:type="dxa" w:w="90"/>
              <w:right w:type="dxa" w:w="130"/>
            </w:tcMar>
          </w:tcPr>
          <w:p>
            <w:pPr>
              <w:spacing w:after="40"/>
            </w:pPr>
            <w:r>
              <w:rPr>
                <w:b w:val="false"/>
                <w:bCs w:val="false"/>
                <w:sz w:val="19"/>
                <w:szCs w:val="19"/>
              </w:rPr>
              <w:t xml:space="preserve">Gate 5</w:t>
            </w:r>
          </w:p>
        </w:tc>
        <w:tc>
          <w:tcPr>
            <w:tcW w:type="dxa" w:w="3200"/>
            <w:tcMar>
              <w:top w:type="dxa" w:w="90"/>
              <w:left w:type="dxa" w:w="130"/>
              <w:bottom w:type="dxa" w:w="90"/>
              <w:right w:type="dxa" w:w="130"/>
            </w:tcMar>
          </w:tcPr>
          <w:p>
            <w:pPr>
              <w:spacing w:after="40"/>
            </w:pPr>
            <w:r>
              <w:rPr>
                <w:b w:val="false"/>
                <w:bCs w:val="false"/>
                <w:sz w:val="19"/>
                <w:szCs w:val="19"/>
              </w:rPr>
              <w:t xml:space="preserve">FR17</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3</w:t>
            </w:r>
          </w:p>
        </w:tc>
        <w:tc>
          <w:tcPr>
            <w:tcW w:type="dxa" w:w="4500"/>
            <w:tcMar>
              <w:top w:type="dxa" w:w="90"/>
              <w:left w:type="dxa" w:w="130"/>
              <w:bottom w:type="dxa" w:w="90"/>
              <w:right w:type="dxa" w:w="130"/>
            </w:tcMar>
          </w:tcPr>
          <w:p>
            <w:pPr>
              <w:spacing w:after="40"/>
            </w:pPr>
            <w:r>
              <w:rPr>
                <w:b w:val="false"/>
                <w:bCs w:val="false"/>
                <w:sz w:val="19"/>
                <w:szCs w:val="19"/>
              </w:rPr>
              <w:t xml:space="preserve">Phone and browser matrix; offline behaviour; media caching, bandwidth and data cost</w:t>
            </w:r>
          </w:p>
        </w:tc>
        <w:tc>
          <w:tcPr>
            <w:tcW w:type="dxa" w:w="1200"/>
            <w:tcMar>
              <w:top w:type="dxa" w:w="90"/>
              <w:left w:type="dxa" w:w="130"/>
              <w:bottom w:type="dxa" w:w="90"/>
              <w:right w:type="dxa" w:w="130"/>
            </w:tcMar>
          </w:tcPr>
          <w:p>
            <w:pPr>
              <w:spacing w:after="40"/>
            </w:pPr>
            <w:r>
              <w:rPr>
                <w:b w:val="false"/>
                <w:bCs w:val="false"/>
                <w:sz w:val="19"/>
                <w:szCs w:val="19"/>
              </w:rPr>
              <w:t xml:space="preserve">Gate 4</w:t>
            </w:r>
          </w:p>
        </w:tc>
        <w:tc>
          <w:tcPr>
            <w:tcW w:type="dxa" w:w="3200"/>
            <w:tcMar>
              <w:top w:type="dxa" w:w="90"/>
              <w:left w:type="dxa" w:w="130"/>
              <w:bottom w:type="dxa" w:w="90"/>
              <w:right w:type="dxa" w:w="130"/>
            </w:tcMar>
          </w:tcPr>
          <w:p>
            <w:pPr>
              <w:spacing w:after="40"/>
            </w:pPr>
            <w:r>
              <w:rPr>
                <w:b w:val="false"/>
                <w:bCs w:val="false"/>
                <w:sz w:val="19"/>
                <w:szCs w:val="19"/>
              </w:rPr>
              <w:t xml:space="preserve">FR17; §5 media precedence</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4</w:t>
            </w:r>
          </w:p>
        </w:tc>
        <w:tc>
          <w:tcPr>
            <w:tcW w:type="dxa" w:w="4500"/>
            <w:tcMar>
              <w:top w:type="dxa" w:w="90"/>
              <w:left w:type="dxa" w:w="130"/>
              <w:bottom w:type="dxa" w:w="90"/>
              <w:right w:type="dxa" w:w="130"/>
            </w:tcMar>
          </w:tcPr>
          <w:p>
            <w:pPr>
              <w:spacing w:after="40"/>
            </w:pPr>
            <w:r>
              <w:rPr>
                <w:b w:val="false"/>
                <w:bCs w:val="false"/>
                <w:sz w:val="19"/>
                <w:szCs w:val="19"/>
              </w:rPr>
              <w:t xml:space="preserve">Local storage technology, eviction behaviour and deletion verification method</w:t>
            </w:r>
          </w:p>
        </w:tc>
        <w:tc>
          <w:tcPr>
            <w:tcW w:type="dxa" w:w="1200"/>
            <w:tcMar>
              <w:top w:type="dxa" w:w="90"/>
              <w:left w:type="dxa" w:w="130"/>
              <w:bottom w:type="dxa" w:w="90"/>
              <w:right w:type="dxa" w:w="130"/>
            </w:tcMar>
          </w:tcPr>
          <w:p>
            <w:pPr>
              <w:spacing w:after="40"/>
            </w:pPr>
            <w:r>
              <w:rPr>
                <w:b w:val="false"/>
                <w:bCs w:val="false"/>
                <w:sz w:val="19"/>
                <w:szCs w:val="19"/>
              </w:rPr>
              <w:t xml:space="preserve">Gate 3</w:t>
            </w:r>
          </w:p>
        </w:tc>
        <w:tc>
          <w:tcPr>
            <w:tcW w:type="dxa" w:w="3200"/>
            <w:tcMar>
              <w:top w:type="dxa" w:w="90"/>
              <w:left w:type="dxa" w:w="130"/>
              <w:bottom w:type="dxa" w:w="90"/>
              <w:right w:type="dxa" w:w="130"/>
            </w:tcMar>
          </w:tcPr>
          <w:p>
            <w:pPr>
              <w:spacing w:after="40"/>
            </w:pPr>
            <w:r>
              <w:rPr>
                <w:b w:val="false"/>
                <w:bCs w:val="false"/>
                <w:sz w:val="19"/>
                <w:szCs w:val="19"/>
              </w:rPr>
              <w:t xml:space="preserve">FR17; FR18</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5</w:t>
            </w:r>
          </w:p>
        </w:tc>
        <w:tc>
          <w:tcPr>
            <w:tcW w:type="dxa" w:w="4500"/>
            <w:tcMar>
              <w:top w:type="dxa" w:w="90"/>
              <w:left w:type="dxa" w:w="130"/>
              <w:bottom w:type="dxa" w:w="90"/>
              <w:right w:type="dxa" w:w="130"/>
            </w:tcMar>
          </w:tcPr>
          <w:p>
            <w:pPr>
              <w:spacing w:after="40"/>
            </w:pPr>
            <w:r>
              <w:rPr>
                <w:b w:val="false"/>
                <w:bCs w:val="false"/>
                <w:sz w:val="19"/>
                <w:szCs w:val="19"/>
              </w:rPr>
              <w:t xml:space="preserve">Exact telemetry events and retention, subject to the essential-only rule</w:t>
            </w:r>
          </w:p>
        </w:tc>
        <w:tc>
          <w:tcPr>
            <w:tcW w:type="dxa" w:w="1200"/>
            <w:tcMar>
              <w:top w:type="dxa" w:w="90"/>
              <w:left w:type="dxa" w:w="130"/>
              <w:bottom w:type="dxa" w:w="90"/>
              <w:right w:type="dxa" w:w="130"/>
            </w:tcMar>
          </w:tcPr>
          <w:p>
            <w:pPr>
              <w:spacing w:after="40"/>
            </w:pPr>
            <w:r>
              <w:rPr>
                <w:b w:val="false"/>
                <w:bCs w:val="false"/>
                <w:sz w:val="19"/>
                <w:szCs w:val="19"/>
              </w:rPr>
              <w:t xml:space="preserve">Gate 4</w:t>
            </w:r>
          </w:p>
        </w:tc>
        <w:tc>
          <w:tcPr>
            <w:tcW w:type="dxa" w:w="3200"/>
            <w:tcMar>
              <w:top w:type="dxa" w:w="90"/>
              <w:left w:type="dxa" w:w="130"/>
              <w:bottom w:type="dxa" w:w="90"/>
              <w:right w:type="dxa" w:w="130"/>
            </w:tcMar>
          </w:tcPr>
          <w:p>
            <w:pPr>
              <w:spacing w:after="40"/>
            </w:pPr>
            <w:r>
              <w:rPr>
                <w:b w:val="false"/>
                <w:bCs w:val="false"/>
                <w:sz w:val="19"/>
                <w:szCs w:val="19"/>
              </w:rPr>
              <w:t xml:space="preserve">FR17; FR19</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6</w:t>
            </w:r>
          </w:p>
        </w:tc>
        <w:tc>
          <w:tcPr>
            <w:tcW w:type="dxa" w:w="4500"/>
            <w:tcMar>
              <w:top w:type="dxa" w:w="90"/>
              <w:left w:type="dxa" w:w="130"/>
              <w:bottom w:type="dxa" w:w="90"/>
              <w:right w:type="dxa" w:w="130"/>
            </w:tcMar>
          </w:tcPr>
          <w:p>
            <w:pPr>
              <w:spacing w:after="40"/>
            </w:pPr>
            <w:r>
              <w:rPr>
                <w:b w:val="false"/>
                <w:bCs w:val="false"/>
                <w:sz w:val="19"/>
                <w:szCs w:val="19"/>
              </w:rPr>
              <w:t xml:space="preserve">How users may report content without sending journal text; who reviews and responds</w:t>
            </w:r>
          </w:p>
        </w:tc>
        <w:tc>
          <w:tcPr>
            <w:tcW w:type="dxa" w:w="1200"/>
            <w:tcMar>
              <w:top w:type="dxa" w:w="90"/>
              <w:left w:type="dxa" w:w="130"/>
              <w:bottom w:type="dxa" w:w="90"/>
              <w:right w:type="dxa" w:w="130"/>
            </w:tcMar>
          </w:tcPr>
          <w:p>
            <w:pPr>
              <w:spacing w:after="40"/>
            </w:pPr>
            <w:r>
              <w:rPr>
                <w:b w:val="false"/>
                <w:bCs w:val="false"/>
                <w:sz w:val="19"/>
                <w:szCs w:val="19"/>
              </w:rPr>
              <w:t xml:space="preserve">Gate 0</w:t>
            </w:r>
          </w:p>
        </w:tc>
        <w:tc>
          <w:tcPr>
            <w:tcW w:type="dxa" w:w="3200"/>
            <w:tcMar>
              <w:top w:type="dxa" w:w="90"/>
              <w:left w:type="dxa" w:w="130"/>
              <w:bottom w:type="dxa" w:w="90"/>
              <w:right w:type="dxa" w:w="130"/>
            </w:tcMar>
          </w:tcPr>
          <w:p>
            <w:pPr>
              <w:spacing w:after="40"/>
            </w:pPr>
            <w:r>
              <w:rPr>
                <w:b w:val="false"/>
                <w:bCs w:val="false"/>
                <w:sz w:val="19"/>
                <w:szCs w:val="19"/>
              </w:rPr>
              <w:t xml:space="preserve">FR16 (fallback now specified)</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7</w:t>
            </w:r>
          </w:p>
        </w:tc>
        <w:tc>
          <w:tcPr>
            <w:tcW w:type="dxa" w:w="4500"/>
            <w:tcMar>
              <w:top w:type="dxa" w:w="90"/>
              <w:left w:type="dxa" w:w="130"/>
              <w:bottom w:type="dxa" w:w="90"/>
              <w:right w:type="dxa" w:w="130"/>
            </w:tcMar>
          </w:tcPr>
          <w:p>
            <w:pPr>
              <w:spacing w:after="40"/>
            </w:pPr>
            <w:r>
              <w:rPr>
                <w:b w:val="false"/>
                <w:bCs w:val="false"/>
                <w:sz w:val="19"/>
                <w:szCs w:val="19"/>
              </w:rPr>
              <w:t xml:space="preserve">Whether any external learning is appropriate during beta</w:t>
            </w:r>
          </w:p>
        </w:tc>
        <w:tc>
          <w:tcPr>
            <w:tcW w:type="dxa" w:w="1200"/>
            <w:tcMar>
              <w:top w:type="dxa" w:w="90"/>
              <w:left w:type="dxa" w:w="130"/>
              <w:bottom w:type="dxa" w:w="90"/>
              <w:right w:type="dxa" w:w="130"/>
            </w:tcMar>
          </w:tcPr>
          <w:p>
            <w:pPr>
              <w:spacing w:after="40"/>
            </w:pPr>
            <w:r>
              <w:rPr>
                <w:b w:val="false"/>
                <w:bCs w:val="false"/>
                <w:sz w:val="19"/>
                <w:szCs w:val="19"/>
              </w:rPr>
              <w:t xml:space="preserve">Gate 1</w:t>
            </w:r>
          </w:p>
        </w:tc>
        <w:tc>
          <w:tcPr>
            <w:tcW w:type="dxa" w:w="3200"/>
            <w:tcMar>
              <w:top w:type="dxa" w:w="90"/>
              <w:left w:type="dxa" w:w="130"/>
              <w:bottom w:type="dxa" w:w="90"/>
              <w:right w:type="dxa" w:w="130"/>
            </w:tcMar>
          </w:tcPr>
          <w:p>
            <w:pPr>
              <w:spacing w:after="40"/>
            </w:pPr>
            <w:r>
              <w:rPr>
                <w:b w:val="false"/>
                <w:bCs w:val="false"/>
                <w:sz w:val="19"/>
                <w:szCs w:val="19"/>
              </w:rPr>
              <w:t xml:space="preserve">FR19</w:t>
            </w:r>
          </w:p>
        </w:tc>
      </w:tr>
      <w:tr>
        <w:trPr>
          <w:tblHeader w:val="off"/>
        </w:trPr>
        <w:tc>
          <w:tcPr>
            <w:tcW w:type="dxa" w:w="460"/>
            <w:tcMar>
              <w:top w:type="dxa" w:w="90"/>
              <w:left w:type="dxa" w:w="130"/>
              <w:bottom w:type="dxa" w:w="90"/>
              <w:right w:type="dxa" w:w="130"/>
            </w:tcMar>
          </w:tcPr>
          <w:p>
            <w:pPr>
              <w:spacing w:after="40"/>
            </w:pPr>
            <w:r>
              <w:rPr>
                <w:b/>
                <w:bCs/>
                <w:sz w:val="19"/>
                <w:szCs w:val="19"/>
              </w:rPr>
              <w:t xml:space="preserve">8</w:t>
            </w:r>
          </w:p>
        </w:tc>
        <w:tc>
          <w:tcPr>
            <w:tcW w:type="dxa" w:w="4500"/>
            <w:tcMar>
              <w:top w:type="dxa" w:w="90"/>
              <w:left w:type="dxa" w:w="130"/>
              <w:bottom w:type="dxa" w:w="90"/>
              <w:right w:type="dxa" w:w="130"/>
            </w:tcMar>
          </w:tcPr>
          <w:p>
            <w:pPr>
              <w:spacing w:after="40"/>
            </w:pPr>
            <w:r>
              <w:rPr>
                <w:b w:val="false"/>
                <w:bCs w:val="false"/>
                <w:sz w:val="19"/>
                <w:szCs w:val="19"/>
              </w:rPr>
              <w:t xml:space="preserve">Future voice-first, AI, group, multilingual shared inquiry and research contribution</w:t>
            </w:r>
          </w:p>
        </w:tc>
        <w:tc>
          <w:tcPr>
            <w:tcW w:type="dxa" w:w="1200"/>
            <w:tcMar>
              <w:top w:type="dxa" w:w="90"/>
              <w:left w:type="dxa" w:w="130"/>
              <w:bottom w:type="dxa" w:w="90"/>
              <w:right w:type="dxa" w:w="130"/>
            </w:tcMar>
          </w:tcPr>
          <w:p>
            <w:pPr>
              <w:spacing w:after="40"/>
            </w:pPr>
            <w:r>
              <w:rPr>
                <w:b w:val="false"/>
                <w:bCs w:val="false"/>
                <w:sz w:val="19"/>
                <w:szCs w:val="19"/>
              </w:rPr>
              <w:t xml:space="preserve">Out of beta</w:t>
            </w:r>
          </w:p>
        </w:tc>
        <w:tc>
          <w:tcPr>
            <w:tcW w:type="dxa" w:w="3200"/>
            <w:tcMar>
              <w:top w:type="dxa" w:w="90"/>
              <w:left w:type="dxa" w:w="130"/>
              <w:bottom w:type="dxa" w:w="90"/>
              <w:right w:type="dxa" w:w="130"/>
            </w:tcMar>
          </w:tcPr>
          <w:p>
            <w:pPr>
              <w:spacing w:after="40"/>
            </w:pPr>
            <w:r>
              <w:rPr>
                <w:b w:val="false"/>
                <w:bCs w:val="false"/>
                <w:sz w:val="19"/>
                <w:szCs w:val="19"/>
              </w:rPr>
              <w:t xml:space="preserve">FR18 for the schema question only</w:t>
            </w:r>
          </w:p>
        </w:tc>
      </w:tr>
    </w:tbl>
    <w:p>
      <w:pPr>
        <w:spacing w:after="140"/>
      </w:pPr>
      <w:r>
        <w:rPr>
          <w:b/>
          <w:bCs/>
        </w:rPr>
        <w:t xml:space="preserve">Note on item 8. </w:t>
      </w:r>
      <w:r>
        <w:rPr>
          <w:b w:val="false"/>
          <w:bCs w:val="false"/>
        </w:rPr>
        <w:t xml:space="preserve">The capability stays out of beta and is not scoped by this revision. FR18 concerns only the schema decision that implementation would otherwise make by default, and resolving FR18 does not open item 8.</w:t>
      </w:r>
    </w:p>
    <w:p>
      <w:pPr>
        <w:pStyle w:val="Heading1"/>
        <w:spacing w:after="160" w:before="320"/>
      </w:pPr>
      <w:r>
        <w:t xml:space="preserve">10. Relationship to v0.2</w:t>
      </w:r>
    </w:p>
    <w:p>
      <w:pPr>
        <w:spacing w:after="140"/>
      </w:pPr>
      <w:r>
        <w:t xml:space="preserve">This revision does not change any agreed beta boundary, does not alter FR03 to FR15, and resolves no open decision. v0.2 remains governing until this draft is reviewed and adopted.</w:t>
      </w:r>
    </w:p>
    <w:p>
      <w:pPr>
        <w:spacing w:after="140"/>
      </w:pPr>
      <w:r>
        <w:t xml:space="preserve">What it adds: an audience definition, marked unattributed; three requirements (FR17, FR18, FR19) that force a recorded decision where v0.2 left a matter open that implementation would otherwise settle silently; a media precedence requirement; and a binding between open items and the gates they constrain.</w:t>
      </w:r>
    </w:p>
    <w:p>
      <w:pPr>
        <w:spacing w:after="140"/>
      </w:pPr>
      <w:r>
        <w:t xml:space="preserve">What it tightens: FR16 becomes satisfiable without an approved endpoint; FR01 and FR02 name the accessible entry route as the reference implementation and require a taxonomy decision on the three non-situational doors; AT10 defines normal storage conditions; AT12 and AT15 strengthen canary and screen-reader evidence; AT18 checks the register.</w:t>
      </w:r>
    </w:p>
    <w:p>
      <w:pPr>
        <w:spacing w:after="140"/>
      </w:pPr>
      <w:r>
        <w:t xml:space="preserve">What it retains from v0.2: the seven-stage journey, user agency, uncertainty, contestable interpretation, explicit saving, later outcome review, no live AI, no in-app feedback prompts, local-first storage with no reflection text transmitted, the provisional versioned nine-entry model, and group capability outside the beta.</w:t>
      </w:r>
    </w:p>
    <w:p>
      <w:pPr>
        <w:spacing w:after="140"/>
      </w:pPr>
      <w:r>
        <w:t xml:space="preserve">Prior mockups, walkthroughs and addenda remain demonstrators. They authorize no voice, AI, social or group feature, and the mockup QA of 21 October 2026 does not satisfy any production gate in section 8.</w:t>
      </w:r>
    </w:p>
    <w:p>
      <w:pPr>
        <w:pBdr>
          <w:bottom w:val="single" w:color="B9BEB8" w:sz="6"/>
        </w:pBdr>
        <w:spacing w:after="160"/>
      </w:pPr>
    </w:p>
    <w:p>
      <w:pPr>
        <w:spacing w:after="140"/>
      </w:pPr>
      <w:r>
        <w:rPr>
          <w:i/>
          <w:iCs/>
        </w:rPr>
        <w:t xml:space="preserve">End of draft. Not reviewed. Not governing.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rFonts w:ascii="Georgia" w:cs="Georgia" w:eastAsia="Georgia" w:hAnsi="Georgia"/>
      <w:b w:val="false"/>
      <w:bCs w:val="false"/>
      <w:color w:val="1A1D21"/>
      <w:sz w:val="44"/>
      <w:szCs w:val="44"/>
    </w:rPr>
  </w:style>
  <w:style w:type="paragraph" w:styleId="Heading1">
    <w:name w:val="Heading 1"/>
    <w:basedOn w:val="Normal"/>
    <w:next w:val="Normal"/>
    <w:qFormat/>
    <w:rPr>
      <w:rFonts w:ascii="Georgia" w:cs="Georgia" w:eastAsia="Georgia" w:hAnsi="Georgia"/>
      <w:b w:val="false"/>
      <w:bCs w:val="false"/>
      <w:color w:val="1A1D21"/>
      <w:sz w:val="28"/>
      <w:szCs w:val="28"/>
    </w:rPr>
  </w:style>
  <w:style w:type="paragraph" w:styleId="Heading2">
    <w:name w:val="Heading 2"/>
    <w:basedOn w:val="Normal"/>
    <w:next w:val="Normal"/>
    <w:qFormat/>
    <w:rPr>
      <w:rFonts w:ascii="Georgia" w:cs="Georgia" w:eastAsia="Georgia" w:hAnsi="Georgia"/>
      <w:b w:val="false"/>
      <w:bCs w:val="false"/>
      <w:color w:val="35596B"/>
      <w:sz w:val="23"/>
      <w:szCs w:val="23"/>
    </w:rPr>
  </w:style>
  <w:style w:type="paragraph" w:styleId="Heading3">
    <w:name w:val="Heading 3"/>
    <w:basedOn w:val="Normal"/>
    <w:next w:val="Normal"/>
    <w:qFormat/>
    <w:rPr>
      <w:rFonts w:ascii="Calibri" w:cs="Calibri" w:eastAsia="Calibri" w:hAnsi="Calibri"/>
      <w:b/>
      <w:bCs/>
      <w:color w:val="35596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Reflecting Minds Mobile Software Specification v0.3 DRAFT</dc:title>
  <dc:creator>Claude (claude-opus-5)</dc:creator>
  <dc:description>Proposed revision to v0.2 adding decision requirements. Not reviewed, not governing.</dc:description>
  <cp:lastModifiedBy>Un-named</cp:lastModifiedBy>
  <cp:revision>1</cp:revision>
  <dcterms:created xsi:type="dcterms:W3CDTF">2026-10-23T16:54:20.214Z</dcterms:created>
  <dcterms:modified xsi:type="dcterms:W3CDTF">2026-10-23T16:54:20.223Z</dcterms:modified>
</cp:coreProperties>
</file>

<file path=docProps/custom.xml><?xml version="1.0" encoding="utf-8"?>
<Properties xmlns="http://schemas.openxmlformats.org/officeDocument/2006/custom-properties" xmlns:vt="http://schemas.openxmlformats.org/officeDocument/2006/docPropsVTypes"/>
</file>