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Reflecting Minds Mobile Software Specification</w:t>
      </w:r>
    </w:p>
    <w:p>
      <w:pPr>
        <w:pStyle w:val="Subtitle"/>
      </w:pPr>
      <w:r>
        <w:t>Proposed MVP and implementation design</w:t>
      </w:r>
    </w:p>
    <w:p>
      <w:r>
        <w:t>Prepared for Alan  •  Version 0.1  •  21 October 2026</w:t>
      </w:r>
    </w:p>
    <w:p>
      <w:r>
        <w:t>Build a phone experience that lets people try a practice of less fixated attention, examine what different motivations feel like, choose a response and revisit what happened. Culturally adaptable introductions should lead into a shared practice without requiring a shared worldview or a predetermined moral conclusion.</w:t>
      </w:r>
    </w:p>
    <w:p>
      <w:r>
        <w:t>This specification translates Jake’s app discussion into a testable mobile model. Alan has confirmed that it must be usable from a phone. The proposed scope, technology choices, data handling and release criteria below require product approval before implementation. “Reflecting Minds” remains a working name.</w:t>
      </w:r>
    </w:p>
    <w:p>
      <w:pPr>
        <w:pStyle w:val="Heading2"/>
      </w:pPr>
      <w:r>
        <w:t>Recommended first release</w:t>
      </w:r>
    </w:p>
    <w:p>
      <w:r>
        <w:t>A private, mobile-first guided experience with three contrasting entry packs, one shared attentional exercise, an optional comparison of motivations, a lightweight disagreement worksheet and a route from reflection to action and later learning. Users can try the core without an account or AI. Optional AI can offer editable questions and summaries after a clear, separate request to send selected text.</w:t>
      </w:r>
    </w:p>
    <w:p>
      <w:pPr>
        <w:pStyle w:val="Heading2"/>
      </w:pPr>
      <w:r>
        <w:t>Build boundaries</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FEAF0"/>
          </w:tcPr>
          <w:p>
            <w:pPr>
              <w:spacing w:after="40" w:before="20" w:line="240" w:lineRule="auto"/>
            </w:pPr>
            <w:r>
              <w:rPr>
                <w:b/>
                <w:color w:val="000000"/>
                <w:sz w:val="20"/>
              </w:rPr>
              <w:t>Included in the proposed MVP</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FEAF0"/>
          </w:tcPr>
          <w:p>
            <w:pPr>
              <w:spacing w:after="40" w:before="20" w:line="240" w:lineRule="auto"/>
            </w:pPr>
            <w:r>
              <w:rPr>
                <w:b/>
                <w:color w:val="000000"/>
                <w:sz w:val="20"/>
              </w:rPr>
              <w:t>Deferred or excluded</w:t>
            </w:r>
          </w:p>
        </w:tc>
      </w:tr>
      <w:tr>
        <w:trPr/>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Phone layouts, cultural entry packs and deep links</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Native iOS or Android commitment; desktop-first design</w:t>
            </w:r>
          </w:p>
        </w:tc>
      </w:tr>
      <w:tr>
        <w:trPr/>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Private reflection, motivation comparison and action review</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Public social feed, open messaging and participant matching</w:t>
            </w:r>
          </w:p>
        </w:tc>
      </w:tr>
      <w:tr>
        <w:trPr/>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Optional AI questions with source references</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Automated moral verdicts, psychological diagnosis or political profiling</w:t>
            </w:r>
          </w:p>
        </w:tc>
      </w:tr>
      <w:tr>
        <w:trPr/>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Device-local saving, export and delete</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Cloud journal sync, study recruitment and research data collection</w:t>
            </w:r>
          </w:p>
        </w:tc>
      </w:tr>
      <w:tr>
        <w:trPr/>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Versioned, human-reviewed exercise content</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Automated publishing of AI-generated cultural content</w:t>
            </w:r>
          </w:p>
        </w:tc>
      </w:tr>
    </w:tbl>
    <w:p/>
    <w:p>
      <w:pPr>
        <w:pStyle w:val="Heading2"/>
      </w:pPr>
      <w:r>
        <w:t>What success means</w:t>
      </w:r>
    </w:p>
    <w:p>
      <w:r>
        <w:t>The model is successful when someone can understand the invitation, complete or skip its stages, express disagreement with a suggestion, choose a response and later record an outcome. It must also allow “nothing changed,” “this was not useful,” “I disagree,” and “I do not want to continue.” Completion and satisfaction are usability signals; neither proves Global Attentiveness or beneficial action.</w:t>
      </w:r>
    </w:p>
    <w:p>
      <w:pPr>
        <w:pStyle w:val="Heading1"/>
        <w:pageBreakBefore/>
      </w:pPr>
      <w:r>
        <w:t>1 Requirements basis</w:t>
      </w:r>
    </w:p>
    <w:p>
      <w:r>
        <w:t>The labels below separate confirmed direction from suggestions in the discussion and new implementation proposals. “Shall” in later sections defines an acceptance condition for the proposed build; it does not imply that every design choice has already been approved.</w:t>
      </w:r>
    </w:p>
    <w:tbl>
      <w:tblPr>
        <w:tblW w:type="auto" w:w="0"/>
        <w:jc w:val="center"/>
        <w:tblLayout w:type="fixed"/>
        <w:tblLook w:firstColumn="1" w:firstRow="1" w:lastColumn="0" w:lastRow="0" w:noHBand="0" w:noVBand="1" w:val="04A0"/>
      </w:tblPr>
      <w:tblGrid>
        <w:gridCol w:w="1656"/>
        <w:gridCol w:w="7272"/>
        <w:gridCol w:w="1152"/>
      </w:tblGrid>
      <w:tr>
        <w:trPr>
          <w:tblHeader w:val="true"/>
        </w:trPr>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FEAF0"/>
          </w:tcPr>
          <w:p>
            <w:pPr>
              <w:spacing w:after="40" w:before="20" w:line="240" w:lineRule="auto"/>
            </w:pPr>
            <w:r>
              <w:rPr>
                <w:b/>
                <w:color w:val="000000"/>
                <w:sz w:val="20"/>
              </w:rPr>
              <w:t>Basis</w:t>
            </w:r>
          </w:p>
        </w:tc>
        <w:tc>
          <w:tcPr>
            <w:tcW w:type="dxa" w:w="72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FEAF0"/>
          </w:tcPr>
          <w:p>
            <w:pPr>
              <w:spacing w:after="40" w:before="20" w:line="240" w:lineRule="auto"/>
            </w:pPr>
            <w:r>
              <w:rPr>
                <w:b/>
                <w:color w:val="000000"/>
                <w:sz w:val="20"/>
              </w:rPr>
              <w:t>Requirement or implication</w:t>
            </w:r>
          </w:p>
        </w:tc>
        <w:tc>
          <w:tcPr>
            <w:tcW w:type="dxa" w:w="11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FEAF0"/>
          </w:tcPr>
          <w:p>
            <w:pPr>
              <w:spacing w:after="40" w:before="20" w:line="240" w:lineRule="auto"/>
            </w:pPr>
            <w:r>
              <w:rPr>
                <w:b/>
                <w:color w:val="000000"/>
                <w:sz w:val="20"/>
              </w:rPr>
              <w:t>Source</w:t>
            </w:r>
          </w:p>
        </w:tc>
      </w:tr>
      <w:tr>
        <w:trPr/>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Alan confirmed</w:t>
            </w:r>
          </w:p>
        </w:tc>
        <w:tc>
          <w:tcPr>
            <w:tcW w:type="dxa" w:w="72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The product must work from a phone. iOS, Android and delivery format remain undecided.</w:t>
            </w:r>
          </w:p>
        </w:tc>
        <w:tc>
          <w:tcPr>
            <w:tcW w:type="dxa" w:w="11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A1</w:t>
            </w:r>
          </w:p>
        </w:tc>
      </w:tr>
      <w:tr>
        <w:trPr/>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Jake explicit</w:t>
            </w:r>
          </w:p>
        </w:tc>
        <w:tc>
          <w:tcPr>
            <w:tcW w:type="dxa" w:w="72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Explore AI and social media as a way to put the discussion into practice, and create a model of the app.</w:t>
            </w:r>
          </w:p>
        </w:tc>
        <w:tc>
          <w:tcPr>
            <w:tcW w:type="dxa" w:w="11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J1, J4</w:t>
            </w:r>
          </w:p>
        </w:tc>
      </w:tr>
      <w:tr>
        <w:trPr/>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Jake explicit</w:t>
            </w:r>
          </w:p>
        </w:tc>
        <w:tc>
          <w:tcPr>
            <w:tcW w:type="dxa" w:w="72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Explore a less loaded basis for inquiry across disagreement, including what counts as evidence. Remain open to no common basis; justice, better and agency can themselves be contested.</w:t>
            </w:r>
          </w:p>
        </w:tc>
        <w:tc>
          <w:tcPr>
            <w:tcW w:type="dxa" w:w="11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J0, J3</w:t>
            </w:r>
          </w:p>
        </w:tc>
      </w:tr>
      <w:tr>
        <w:trPr/>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Jake explicit</w:t>
            </w:r>
          </w:p>
        </w:tc>
        <w:tc>
          <w:tcPr>
            <w:tcW w:type="dxa" w:w="72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Global Attentiveness concerns reduced affective fixation and greater generalized alertness across experiential modalities, rather than a prescribed set of things to notice.</w:t>
            </w:r>
          </w:p>
        </w:tc>
        <w:tc>
          <w:tcPr>
            <w:tcW w:type="dxa" w:w="11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J3</w:t>
            </w:r>
          </w:p>
        </w:tc>
      </w:tr>
      <w:tr>
        <w:trPr/>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Jake explicit</w:t>
            </w:r>
          </w:p>
        </w:tc>
        <w:tc>
          <w:tcPr>
            <w:tcW w:type="dxa" w:w="72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Connect awareness to how people live and act.</w:t>
            </w:r>
          </w:p>
        </w:tc>
        <w:tc>
          <w:tcPr>
            <w:tcW w:type="dxa" w:w="11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J3</w:t>
            </w:r>
          </w:p>
        </w:tc>
      </w:tr>
      <w:tr>
        <w:trPr/>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Jake explicit</w:t>
            </w:r>
          </w:p>
        </w:tc>
        <w:tc>
          <w:tcPr>
            <w:tcW w:type="dxa" w:w="72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Let people investigate lived emotional motivations, discern how they want to be motivated and examine effects on action. Cross-cultural agreement is a possibility to explore.</w:t>
            </w:r>
          </w:p>
        </w:tc>
        <w:tc>
          <w:tcPr>
            <w:tcW w:type="dxa" w:w="11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J4</w:t>
            </w:r>
          </w:p>
        </w:tc>
      </w:tr>
      <w:tr>
        <w:trPr/>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Jake explicit</w:t>
            </w:r>
          </w:p>
        </w:tc>
        <w:tc>
          <w:tcPr>
            <w:tcW w:type="dxa" w:w="72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Tailor initial presentation across languages and subcultures; connect short social content to relevant app experiences. Hunting and ancient navigation are possible examples.</w:t>
            </w:r>
          </w:p>
        </w:tc>
        <w:tc>
          <w:tcPr>
            <w:tcW w:type="dxa" w:w="11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J4</w:t>
            </w:r>
          </w:p>
        </w:tc>
      </w:tr>
    </w:tbl>
    <w:p/>
    <w:p>
      <w:pPr>
        <w:pStyle w:val="Heading2"/>
      </w:pPr>
      <w:r>
        <w:t>Ideas carried forward from the assistant discussion</w:t>
      </w:r>
    </w:p>
    <w:p>
      <w:r>
        <w:t>The attention mirror, evidence and disagreement maps, next-step finder, attention cards, opt-in AI and phased rollout were ChatGPT proposals. This specification adopts a small private worksheet and optional AI support as recommended ways to test those ideas. It defers the social network, group deliberation and public sharing. These are product choices for review, not direct quotations of Jake’s requirements.</w:t>
      </w:r>
    </w:p>
    <w:p>
      <w:pPr>
        <w:pStyle w:val="Heading2"/>
      </w:pPr>
      <w:r>
        <w:t>Research constraints</w:t>
      </w:r>
    </w:p>
    <w:p>
      <w:r>
        <w:t>The core exercise needs review by Jake and appropriate practice or research specialists. A reflective prompt is not a validated operationalization of Global Attentiveness. Greater awareness, preferred motivation, useful inquiry, agreement and beneficial action are separate outcomes. The app shall not label any of them as established consequences of using it.</w:t>
      </w:r>
    </w:p>
    <w:p>
      <w:pPr>
        <w:pStyle w:val="Heading1"/>
        <w:pageBreakBefore/>
      </w:pPr>
      <w:r>
        <w:t>2 Phone experience and user flows</w:t>
      </w:r>
    </w:p>
    <w:p>
      <w:pPr>
        <w:pStyle w:val="Heading2"/>
      </w:pPr>
      <w:r>
        <w:t>Flow A Try an experience</w:t>
      </w:r>
    </w:p>
    <w:p>
      <w:pPr>
        <w:pStyle w:val="ListNumber"/>
      </w:pPr>
      <w:r>
        <w:t>A person opens an entry link from a reel, message or QR code. The phone landing screen shows the matching story, available language, expected duration and a plain explanation of what the exercise does. They may switch entry style or choose a neutral introduction.</w:t>
      </w:r>
    </w:p>
    <w:p>
      <w:pPr>
        <w:pStyle w:val="ListNumber"/>
      </w:pPr>
      <w:r>
        <w:t>They tap Try it, choose a provided low-stakes example or enter a short situation, and see that responses stay in the current session unless they choose to save. No social login, notification permission or demographic questionnaire blocks entry.</w:t>
      </w:r>
    </w:p>
    <w:p>
      <w:pPr>
        <w:pStyle w:val="ListNumber"/>
      </w:pPr>
      <w:r>
        <w:t>They encounter a brief, human-authored attentional exercise. They can read it, use optional audio, pause, skip or exit. Instructions invite noticing without claiming that the app detects fixation or requiring a particular sensation.</w:t>
      </w:r>
    </w:p>
    <w:p>
      <w:pPr>
        <w:pStyle w:val="ListNumber"/>
      </w:pPr>
      <w:r>
        <w:t>They name a motivation in their own words or choose editable examples. They describe what it draws attention toward, what is harder to notice and what it makes them want to do. “Mixed,” “uncertain” and skip remain first-class choices.</w:t>
      </w:r>
    </w:p>
    <w:p>
      <w:pPr>
        <w:pStyle w:val="ListNumber"/>
      </w:pPr>
      <w:r>
        <w:t>They may consider another motivation and compare the two experiences. The app asks what changed, including “no difference” and “the comparison did not fit.” It does not rank their answers.</w:t>
      </w:r>
    </w:p>
    <w:p>
      <w:pPr>
        <w:pStyle w:val="ListNumber"/>
      </w:pPr>
      <w:r>
        <w:t>They consider what they know, infer or remain unsure about; choose an action, inquiry, deliberate pause or exit; and record any expected consequence. They can finish without agreeing with anyone.</w:t>
      </w:r>
    </w:p>
    <w:p>
      <w:pPr>
        <w:pStyle w:val="ListNumber"/>
      </w:pPr>
      <w:r>
        <w:t>The summary contains their words and clearly marked suggestions. They can revise it, save on this device, export a chosen subset or discard it. If saved, a later visit offers an outcome review without sending a notification.</w:t>
      </w:r>
    </w:p>
    <w:p>
      <w:pPr>
        <w:pStyle w:val="Heading2"/>
      </w:pPr>
      <w:r>
        <w:t>Flow B Examine a disagreement</w:t>
      </w:r>
    </w:p>
    <w:p>
      <w:r>
        <w:t>From the Discern screen, the person opens an optional worksheet: accounts of the situation, claims and supporting sources, unknowns, affected or absent perspectives, costs of delay, and possible responses. They may distinguish factual, causal, interpretive, normative and practical questions. The app describes other people’s motivations only as user-provided interpretations, never as detected facts. AI suggestions require the additional consent in FR10.</w:t>
      </w:r>
    </w:p>
    <w:p>
      <w:pPr>
        <w:pStyle w:val="Heading2"/>
      </w:pPr>
      <w:r>
        <w:t>Flow C Return and learn</w:t>
      </w:r>
    </w:p>
    <w:p>
      <w:r>
        <w:t>On a return visit to the same browser/device, the person opens a saved session, records whether the planned response occurred and describes expected or unexpected effects. “I did not act,” “I changed the plan” and “I do not know the outcome” are valid. They may revise their interpretation or start a linked new cycle. The original record remains distinguishable from later revisions.</w:t>
      </w:r>
    </w:p>
    <w:p>
      <w:pPr>
        <w:pStyle w:val="Heading2"/>
      </w:pPr>
      <w:r>
        <w:t>Navigation</w:t>
      </w:r>
    </w:p>
    <w:p>
      <w:r>
        <w:t>Use a seven-stage structure: Entry, Notice, Motivation, Compare, Discern, Respond and Review. Show progress by stage, allow Back without data loss, and make optional stages skippable. Opening an external source must not discard the session. Keyboard appearance and browser controls must never hide the active input or primary action.</w:t>
      </w:r>
    </w:p>
    <w:p>
      <w:pPr>
        <w:pStyle w:val="Heading1"/>
        <w:pageBreakBefore/>
      </w:pPr>
      <w:r>
        <w:t>3 Functional requirements for the core</w:t>
      </w:r>
    </w:p>
    <w:p>
      <w:pPr>
        <w:pStyle w:val="Heading2"/>
      </w:pPr>
      <w:r>
        <w:t>FR01 Mobile entry and routes</w:t>
      </w:r>
    </w:p>
    <w:p>
      <w:r>
        <w:t>The app shall open directly into a published entry pack and exercise using allowlisted pack, locale and exercise identifiers. An unknown or retired identifier shall show a safe fallback with an explanation. Campaign links may identify content, never a person or inferred ideology. First use shall not require installation or an account in the recommended mobile-web model.</w:t>
      </w:r>
    </w:p>
    <w:p>
      <w:pPr>
        <w:pStyle w:val="Heading2"/>
      </w:pPr>
      <w:r>
        <w:t>FR02 Choose presentation</w:t>
      </w:r>
    </w:p>
    <w:p>
      <w:r>
        <w:t>The person shall be able to choose and change language and entry pack. Changing presentation shall preserve answers and use the same stable exercise identifiers. The app shall not assign a cultural or political identity from a link, location, appearance, name or browsing history.</w:t>
      </w:r>
    </w:p>
    <w:p>
      <w:pPr>
        <w:pStyle w:val="Heading2"/>
      </w:pPr>
      <w:r>
        <w:t>FR03 Explain control and storage</w:t>
      </w:r>
    </w:p>
    <w:p>
      <w:r>
        <w:t>Before the first free-text entry, the app shall explain session-only versus device saving, the AI boundary and the ability to skip or delete. No cloud journal upload, analytics text capture or research enrollment may be implied by starting an exercise.</w:t>
      </w:r>
    </w:p>
    <w:p>
      <w:pPr>
        <w:pStyle w:val="Heading2"/>
      </w:pPr>
      <w:r>
        <w:t>FR04 Practice attention</w:t>
      </w:r>
    </w:p>
    <w:p>
      <w:r>
        <w:t>The app shall render a versioned exercise with optional timing and readable alternatives to any audio or visual element. Users may pause, skip, stop or report discomfort. It shall not measure attentiveness from completion, camera, microphone, biometrics or response sentiment. Content must be reviewed against Jake’s definition before pilot use.</w:t>
      </w:r>
    </w:p>
    <w:p>
      <w:pPr>
        <w:pStyle w:val="Heading2"/>
      </w:pPr>
      <w:r>
        <w:t>FR05 Describe motivation</w:t>
      </w:r>
    </w:p>
    <w:p>
      <w:r>
        <w:t>The app shall accept a self-chosen label and optional observations about felt experience, attentional effects and action impulses. Examples are invitations, not an exhaustive taxonomy. It shall support mixed, absent or uncertain motivations without a validation error or lower score.</w:t>
      </w:r>
    </w:p>
    <w:p>
      <w:pPr>
        <w:pStyle w:val="Heading2"/>
      </w:pPr>
      <w:r>
        <w:t>FR06 Compare without ranking</w:t>
      </w:r>
    </w:p>
    <w:p>
      <w:r>
        <w:t>An optional comparison shall preserve the original entry and capture a second motivation, observations, similarities, differences and the user’s own interpretation. It shall allow rejecting the premise. No motivation shall receive an automatic good/bad score or universal ordering.</w:t>
      </w:r>
    </w:p>
    <w:p>
      <w:pPr>
        <w:pStyle w:val="Heading2"/>
      </w:pPr>
      <w:r>
        <w:t>FR07 Support discernment</w:t>
      </w:r>
    </w:p>
    <w:p>
      <w:r>
        <w:t>The worksheet shall let the user distinguish observation, inference, uncertainty, sources and value judgments. Suggested omitted perspectives, standards of evidence and delay costs shall be editable and contestable. Refusal to participate remains a possible outcome; the app shall not equate it with bad faith. No required checklist shall be represented as the definition or proof of Global Attentiveness.</w:t>
      </w:r>
    </w:p>
    <w:p>
      <w:pPr>
        <w:pStyle w:val="Heading2"/>
      </w:pPr>
      <w:r>
        <w:t>FR08 Choose a response</w:t>
      </w:r>
    </w:p>
    <w:p>
      <w:r>
        <w:t>The user shall choose or write a next step and may record expected effects, affected people, risks, reversibility and a reason for waiting. An action is optional. The app shall not send messages, contact people, organize campaigns or perform the chosen action. It shall not make continued dialogue the default answer when the user wants to leave.</w:t>
      </w:r>
    </w:p>
    <w:p>
      <w:pPr>
        <w:pStyle w:val="Heading1"/>
        <w:pageBreakBefore/>
      </w:pPr>
      <w:r>
        <w:t>4 Functional requirements for continuity</w:t>
      </w:r>
    </w:p>
    <w:p>
      <w:pPr>
        <w:pStyle w:val="Heading2"/>
      </w:pPr>
      <w:r>
        <w:t>FR09 Review outcomes</w:t>
      </w:r>
    </w:p>
    <w:p>
      <w:r>
        <w:t>A saved session shall support later observations about what happened, what remains unknown and what the person would change. Preserve the planned response separately from the observed result. Completion shall not imply that an action occurred or that an outcome was beneficial.</w:t>
      </w:r>
    </w:p>
    <w:p>
      <w:pPr>
        <w:pStyle w:val="Heading2"/>
      </w:pPr>
      <w:r>
        <w:t>FR10 Request optional AI assistance</w:t>
      </w:r>
    </w:p>
    <w:p>
      <w:r>
        <w:t>AI shall be off until the user selects an assist action and reviews the exact fields to transmit. Provide a concise explanation of the provider and its retention terms before consent. Each request shall use the approved fields only. The core flow shall remain usable if AI is disabled, declined, unavailable or returns unusable output.</w:t>
      </w:r>
    </w:p>
    <w:p>
      <w:pPr>
        <w:pStyle w:val="Heading2"/>
      </w:pPr>
      <w:r>
        <w:t>FR11 Contest AI output</w:t>
      </w:r>
    </w:p>
    <w:p>
      <w:r>
        <w:t>Each AI question, claim classification or summary shall be visibly labeled as a suggestion. Summaries shall reference the supplied input items they represent. The user shall be able to edit, reject or dismiss each suggestion; acceptance must not overwrite original words. The app shall not claim neutrality, infer private motives, score groups or fabricate evidence.</w:t>
      </w:r>
    </w:p>
    <w:p>
      <w:pPr>
        <w:pStyle w:val="Heading2"/>
      </w:pPr>
      <w:r>
        <w:t>FR12 Save and resume privately</w:t>
      </w:r>
    </w:p>
    <w:p>
      <w:r>
        <w:t>The person shall explicitly choose Save on this device before durable journal storage. Session-only drafts remain in memory and are lost when the page closes; warn before an intentional close or reload when possible. Saved sessions shall survive ordinary app restarts on that browser, subject to device clearing or eviction. Show a warning that browser storage is not a backup or a private vault.</w:t>
      </w:r>
    </w:p>
    <w:p>
      <w:pPr>
        <w:pStyle w:val="Heading2"/>
      </w:pPr>
      <w:r>
        <w:t>FR13 Export and delete</w:t>
      </w:r>
    </w:p>
    <w:p>
      <w:r>
        <w:t>A person shall preview and export selected session fields as a readable text file and a structured JSON file. Default exports omit draft AI text and omit entry campaign metadata. Delete shall remove a selected local session and linked responses; Delete all shall clear all app journal stores after confirmation. Explain that exported copies and previously processed AI requests are outside local deletion.</w:t>
      </w:r>
    </w:p>
    <w:p>
      <w:pPr>
        <w:pStyle w:val="Heading2"/>
      </w:pPr>
      <w:r>
        <w:t>FR14 Publish content safely</w:t>
      </w:r>
    </w:p>
    <w:p>
      <w:r>
        <w:t>Content authors shall provide draft packs through a version-controlled content workflow. A different authorized reviewer shall approve publication. The build shall reject invalid schemas, missing consent copy, missing locale assets, broken internal references and changes to core research statements hidden inside a cultural pack.</w:t>
      </w:r>
    </w:p>
    <w:p>
      <w:pPr>
        <w:pStyle w:val="Heading2"/>
      </w:pPr>
      <w:r>
        <w:t>FR15 Collect optional product feedback</w:t>
      </w:r>
    </w:p>
    <w:p>
      <w:r>
        <w:t>Offer a voluntary usefulness/comprehension response, including “not useful,” separately from personal reflection. No journal text, motivation label, source text, political inference or contact detail shall enter product telemetry. Research participation and publication of personal accounts remain outside the MVP.</w:t>
      </w:r>
    </w:p>
    <w:p>
      <w:pPr>
        <w:pStyle w:val="Heading2"/>
      </w:pPr>
      <w:r>
        <w:t>FR16 Keep user control visible</w:t>
      </w:r>
    </w:p>
    <w:p>
      <w:r>
        <w:t>A stable Exit action, a privacy explanation and a way to report a confusing or inappropriate exercise shall be available throughout. Feedback must be previewed before sending and shall not silently attach session contents. External sharing of an export uses the phone’s own user-controlled flow.</w:t>
      </w:r>
    </w:p>
    <w:p>
      <w:pPr>
        <w:pStyle w:val="Heading1"/>
        <w:pageBreakBefore/>
      </w:pPr>
      <w:r>
        <w:t>5 Cultural content and practice design</w:t>
      </w:r>
    </w:p>
    <w:p>
      <w:r>
        <w:t>The adaptable presentation layer should make participation understandable and inviting while leaving research claims consistent. A person chooses an entry experience; the system does not determine which identity they belong to.</w:t>
      </w:r>
    </w:p>
    <w:p>
      <w:pPr>
        <w:pStyle w:val="Heading2"/>
      </w:pPr>
      <w:r>
        <w:t>Initial content pack set</w:t>
      </w:r>
    </w:p>
    <w:p>
      <w:r>
        <w:t>Recommended model: one outdoor awareness introduction, one navigation introduction and one everyday relationship introduction, all leading into the same core cycle. These reflect examples in the discussion; they are not claims about which cultures or political groups prefer them. The first pilot should use communities and languages selected with Jake and local contributors. Do not present a single generic “African” or “Indian” experience.</w:t>
      </w:r>
    </w:p>
    <w:tbl>
      <w:tblPr>
        <w:tblW w:type="auto" w:w="0"/>
        <w:jc w:val="center"/>
        <w:tblLayout w:type="fixed"/>
        <w:tblLook w:firstColumn="1" w:firstRow="1" w:lastColumn="0" w:lastRow="0" w:noHBand="0" w:noVBand="1" w:val="04A0"/>
      </w:tblPr>
      <w:tblGrid>
        <w:gridCol w:w="2232"/>
        <w:gridCol w:w="7848"/>
      </w:tblGrid>
      <w:tr>
        <w:trPr>
          <w:tblHeader w:val="true"/>
        </w:trPr>
        <w:tc>
          <w:tcPr>
            <w:tcW w:type="dxa" w:w="223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FEAF0"/>
          </w:tcPr>
          <w:p>
            <w:pPr>
              <w:spacing w:after="40" w:before="20" w:line="240" w:lineRule="auto"/>
            </w:pPr>
            <w:r>
              <w:rPr>
                <w:b/>
                <w:color w:val="000000"/>
                <w:sz w:val="20"/>
              </w:rPr>
              <w:t>Pack field</w:t>
            </w:r>
          </w:p>
        </w:tc>
        <w:tc>
          <w:tcPr>
            <w:tcW w:type="dxa" w:w="78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FEAF0"/>
          </w:tcPr>
          <w:p>
            <w:pPr>
              <w:spacing w:after="40" w:before="20" w:line="240" w:lineRule="auto"/>
            </w:pPr>
            <w:r>
              <w:rPr>
                <w:b/>
                <w:color w:val="000000"/>
                <w:sz w:val="20"/>
              </w:rPr>
              <w:t>Required behavior</w:t>
            </w:r>
          </w:p>
        </w:tc>
      </w:tr>
      <w:tr>
        <w:trPr/>
        <w:tc>
          <w:tcPr>
            <w:tcW w:type="dxa" w:w="223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id, version, locale, direction</w:t>
            </w:r>
          </w:p>
        </w:tc>
        <w:tc>
          <w:tcPr>
            <w:tcW w:type="dxa" w:w="78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Stable identifier, immutable published version, explicit locale and left-to-right or right-to-left rendering.</w:t>
            </w:r>
          </w:p>
        </w:tc>
      </w:tr>
      <w:tr>
        <w:trPr/>
        <w:tc>
          <w:tcPr>
            <w:tcW w:type="dxa" w:w="223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title, invitation, example</w:t>
            </w:r>
          </w:p>
        </w:tc>
        <w:tc>
          <w:tcPr>
            <w:tcW w:type="dxa" w:w="78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Locally reviewed wording and story. Separate factual claims from illustrative fiction.</w:t>
            </w:r>
          </w:p>
        </w:tc>
      </w:tr>
      <w:tr>
        <w:trPr/>
        <w:tc>
          <w:tcPr>
            <w:tcW w:type="dxa" w:w="223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media and alternatives</w:t>
            </w:r>
          </w:p>
        </w:tc>
        <w:tc>
          <w:tcPr>
            <w:tcW w:type="dxa" w:w="78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Owned or licensed media, captions, transcript, alt text and a text-only route. No autoplay audio.</w:t>
            </w:r>
          </w:p>
        </w:tc>
      </w:tr>
      <w:tr>
        <w:trPr/>
        <w:tc>
          <w:tcPr>
            <w:tcW w:type="dxa" w:w="223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exercise references</w:t>
            </w:r>
          </w:p>
        </w:tc>
        <w:tc>
          <w:tcPr>
            <w:tcW w:type="dxa" w:w="78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References to shared exercise and prompt identifiers; no executable pack code or arbitrary remote embeds.</w:t>
            </w:r>
          </w:p>
        </w:tc>
      </w:tr>
      <w:tr>
        <w:trPr/>
        <w:tc>
          <w:tcPr>
            <w:tcW w:type="dxa" w:w="223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review record</w:t>
            </w:r>
          </w:p>
        </w:tc>
        <w:tc>
          <w:tcPr>
            <w:tcW w:type="dxa" w:w="78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Author, reviewer, community feedback, approval status and publication date.</w:t>
            </w:r>
          </w:p>
        </w:tc>
      </w:tr>
      <w:tr>
        <w:trPr/>
        <w:tc>
          <w:tcPr>
            <w:tcW w:type="dxa" w:w="223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claim references</w:t>
            </w:r>
          </w:p>
        </w:tc>
        <w:tc>
          <w:tcPr>
            <w:tcW w:type="dxa" w:w="78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Links to canonical research statements and uncertainty notices. A pack cannot silently replace them.</w:t>
            </w:r>
          </w:p>
        </w:tc>
      </w:tr>
    </w:tbl>
    <w:p/>
    <w:p>
      <w:pPr>
        <w:pStyle w:val="Heading2"/>
      </w:pPr>
      <w:r>
        <w:t>Common practice content</w:t>
      </w:r>
    </w:p>
    <w:p>
      <w:r>
        <w:t>Use a reviewed invitation such as noticing where attention repeatedly returns, allowing awareness of other aspects of experience and observing what changes. Sensory examples must be optional and adaptable for sensory differences. Do not demand emotional calm, suppress anger, treat compliance as attentiveness or imply that more input is always better. Exercise duration and wording are design hypotheses to test.</w:t>
      </w:r>
    </w:p>
    <w:p>
      <w:pPr>
        <w:pStyle w:val="Heading2"/>
      </w:pPr>
      <w:r>
        <w:t>Motivation comparison</w:t>
      </w:r>
    </w:p>
    <w:p>
      <w:r>
        <w:t>A sample invitation may ask what wanting to win or wanting to understand feels like in a particular episode. Users can replace those labels or decline the comparison. Care may be experienced as helpful, partial or intrusive; anger may signal something important. The product records the person’s account without turning illustrative examples into a moral rubric.</w:t>
      </w:r>
    </w:p>
    <w:p>
      <w:pPr>
        <w:pStyle w:val="Heading2"/>
      </w:pPr>
      <w:r>
        <w:t>Localization workflow</w:t>
      </w:r>
    </w:p>
    <w:p>
      <w:r>
        <w:t>Use stable message keys, locale-aware dates, no text baked into images and a complete right-to-left layout test. A local reviewer checks meaning, examples and social implications, not only literal translation. Missing translations fall back to a language the person selects; never silently mix untranslated consent or safety text into a localized flow. Packs retain independent versions so corrections do not silently rewrite historical sessions.</w:t>
      </w:r>
    </w:p>
    <w:p>
      <w:pPr>
        <w:pStyle w:val="Heading1"/>
        <w:pageBreakBefore/>
      </w:pPr>
      <w:r>
        <w:t>6 Recommended architecture</w:t>
      </w:r>
    </w:p>
    <w:p>
      <w:r>
        <w:t>Recommended, unapproved implementation: a mobile-first responsive web app with optional installability. This makes the reel-to-exercise path testable on both iOS and Android without an app-store install. A native or cross-platform app remains a product decision. Validate the mobile-web choice in real social in-app browsers before committing to it.</w:t>
      </w:r>
    </w:p>
    <w:tbl>
      <w:tblPr>
        <w:tblW w:type="auto" w:w="0"/>
        <w:jc w:val="center"/>
        <w:tblLayout w:type="fixed"/>
        <w:tblLook w:firstColumn="1" w:firstRow="1" w:lastColumn="0" w:lastRow="0" w:noHBand="0" w:noVBand="1" w:val="04A0"/>
      </w:tblPr>
      <w:tblGrid>
        <w:gridCol w:w="2376"/>
        <w:gridCol w:w="7704"/>
      </w:tblGrid>
      <w:tr>
        <w:trPr>
          <w:tblHeader w:val="true"/>
        </w:trPr>
        <w:tc>
          <w:tcPr>
            <w:tcW w:type="dxa" w:w="237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FEAF0"/>
          </w:tcPr>
          <w:p>
            <w:pPr>
              <w:spacing w:after="40" w:before="20" w:line="240" w:lineRule="auto"/>
            </w:pPr>
            <w:r>
              <w:rPr>
                <w:b/>
                <w:color w:val="000000"/>
                <w:sz w:val="20"/>
              </w:rPr>
              <w:t>Component</w:t>
            </w:r>
          </w:p>
        </w:tc>
        <w:tc>
          <w:tcPr>
            <w:tcW w:type="dxa" w:w="77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FEAF0"/>
          </w:tcPr>
          <w:p>
            <w:pPr>
              <w:spacing w:after="40" w:before="20" w:line="240" w:lineRule="auto"/>
            </w:pPr>
            <w:r>
              <w:rPr>
                <w:b/>
                <w:color w:val="000000"/>
                <w:sz w:val="20"/>
              </w:rPr>
              <w:t>Responsibility and boundary</w:t>
            </w:r>
          </w:p>
        </w:tc>
      </w:tr>
      <w:tr>
        <w:trPr/>
        <w:tc>
          <w:tcPr>
            <w:tcW w:type="dxa" w:w="237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Phone client</w:t>
            </w:r>
          </w:p>
        </w:tc>
        <w:tc>
          <w:tcPr>
            <w:tcW w:type="dxa" w:w="77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TypeScript UI; staged session state machine; accessible forms; local journal; export. No AI credentials or private server keys.</w:t>
            </w:r>
          </w:p>
        </w:tc>
      </w:tr>
      <w:tr>
        <w:trPr/>
        <w:tc>
          <w:tcPr>
            <w:tcW w:type="dxa" w:w="237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Published content bundle</w:t>
            </w:r>
          </w:p>
        </w:tc>
        <w:tc>
          <w:tcPr>
            <w:tcW w:type="dxa" w:w="77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Validated, immutable JSON exercise and presentation packs plus licensed media. Served from the app origin or approved CDN.</w:t>
            </w:r>
          </w:p>
        </w:tc>
      </w:tr>
      <w:tr>
        <w:trPr/>
        <w:tc>
          <w:tcPr>
            <w:tcW w:type="dxa" w:w="237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Optional assist gateway</w:t>
            </w:r>
          </w:p>
        </w:tc>
        <w:tc>
          <w:tcPr>
            <w:tcW w:type="dxa" w:w="77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Server-side request validation, consent enforcement, provider calls, output-schema validation and rate limiting. No durable journal database.</w:t>
            </w:r>
          </w:p>
        </w:tc>
      </w:tr>
      <w:tr>
        <w:trPr/>
        <w:tc>
          <w:tcPr>
            <w:tcW w:type="dxa" w:w="237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Content review pipeline</w:t>
            </w:r>
          </w:p>
        </w:tc>
        <w:tc>
          <w:tcPr>
            <w:tcW w:type="dxa" w:w="77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Repository-based drafts, independent review, automated schema/link tests and preview deployment. No public authoring interface in MVP.</w:t>
            </w:r>
          </w:p>
        </w:tc>
      </w:tr>
      <w:tr>
        <w:trPr/>
        <w:tc>
          <w:tcPr>
            <w:tcW w:type="dxa" w:w="237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Telemetry endpoint</w:t>
            </w:r>
          </w:p>
        </w:tc>
        <w:tc>
          <w:tcPr>
            <w:tcW w:type="dxa" w:w="77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Optional allowlisted operational events. Separate from journal and AI payloads; may be disabled for the model.</w:t>
            </w:r>
          </w:p>
        </w:tc>
      </w:tr>
    </w:tbl>
    <w:p/>
    <w:p>
      <w:pPr>
        <w:pStyle w:val="Heading2"/>
      </w:pPr>
      <w:r>
        <w:t>Client boundaries</w:t>
      </w:r>
    </w:p>
    <w:p>
      <w:r>
        <w:t>Keep the session engine independent from presentation packs and AI. Core screens use typed prompt IDs, not culturally specific strings as storage keys. Recommended implementation units are entry routing, pack rendering, session reducer, journal repository, assist adapter and export service. React is a reasonable UI choice, but the spec does not require a framework or a vendor.</w:t>
      </w:r>
    </w:p>
    <w:p>
      <w:pPr>
        <w:pStyle w:val="Heading2"/>
      </w:pPr>
      <w:r>
        <w:t>Session state</w:t>
      </w:r>
    </w:p>
    <w:p>
      <w:r>
        <w:t>Use draft → in progress → finished → reviewed, with discarded as a terminal state. Stage completion records a user action and may be skipped; it is never inferred from time spent. Reopening finished sessions creates a new revision. Outcome entries append to the record. All local writes are atomic and schema-versioned; failed writes leave the last valid revision intact.</w:t>
      </w:r>
    </w:p>
    <w:p>
      <w:pPr>
        <w:pStyle w:val="Heading2"/>
      </w:pPr>
      <w:r>
        <w:t>Offline and installation</w:t>
      </w:r>
    </w:p>
    <w:p>
      <w:r>
        <w:t>After an explicit offline-save choice, cache only the app shell and selected public content. Never put journals or AI responses in a service-worker cache. Completed offline edits remain local; AI is unavailable offline with no automatic queue of private text. On reconnect, the person must explicitly request AI again. The app must work without installation; browser storage differences must be tested on the selected phone/browser matrix.</w:t>
      </w:r>
    </w:p>
    <w:p>
      <w:pPr>
        <w:pStyle w:val="Heading2"/>
      </w:pPr>
      <w:r>
        <w:t>Release and operations</w:t>
      </w:r>
    </w:p>
    <w:p>
      <w:r>
        <w:t>Use separate development, test and production environments; content hashes and reproducible builds; a server feature flag that can disable AI independently; and a rollback to the last known-good content/app bundle. A gateway incident must not block local reading, deleting or exporting. For the first pilot, operate one deployment region chosen after jurisdiction and provider review.</w:t>
      </w:r>
    </w:p>
    <w:p>
      <w:pPr>
        <w:pStyle w:val="Heading1"/>
        <w:pageBreakBefore/>
      </w:pPr>
      <w:r>
        <w:t>7 Data model and persistence</w:t>
      </w:r>
    </w:p>
    <w:p>
      <w:r>
        <w:t>All journal entities below are local to the phone in the recommended MVP. Public content entities live in the published content bundle. UUIDs are generated locally; timestamps include UTC plus the device’s display timezone. Do not create a global user identifier for an anonymous model.</w:t>
      </w:r>
    </w:p>
    <w:tbl>
      <w:tblPr>
        <w:tblW w:type="auto" w:w="0"/>
        <w:jc w:val="center"/>
        <w:tblLayout w:type="fixed"/>
        <w:tblLook w:firstColumn="1" w:firstRow="1" w:lastColumn="0" w:lastRow="0" w:noHBand="0" w:noVBand="1" w:val="04A0"/>
      </w:tblPr>
      <w:tblGrid>
        <w:gridCol w:w="2232"/>
        <w:gridCol w:w="7848"/>
      </w:tblGrid>
      <w:tr>
        <w:trPr>
          <w:tblHeader w:val="true"/>
        </w:trPr>
        <w:tc>
          <w:tcPr>
            <w:tcW w:type="dxa" w:w="223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FEAF0"/>
          </w:tcPr>
          <w:p>
            <w:pPr>
              <w:spacing w:after="40" w:before="20" w:line="240" w:lineRule="auto"/>
            </w:pPr>
            <w:r>
              <w:rPr>
                <w:b/>
                <w:color w:val="000000"/>
                <w:sz w:val="20"/>
              </w:rPr>
              <w:t>Entity</w:t>
            </w:r>
          </w:p>
        </w:tc>
        <w:tc>
          <w:tcPr>
            <w:tcW w:type="dxa" w:w="78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FEAF0"/>
          </w:tcPr>
          <w:p>
            <w:pPr>
              <w:spacing w:after="40" w:before="20" w:line="240" w:lineRule="auto"/>
            </w:pPr>
            <w:r>
              <w:rPr>
                <w:b/>
                <w:color w:val="000000"/>
                <w:sz w:val="20"/>
              </w:rPr>
              <w:t>Minimum fields and relationships</w:t>
            </w:r>
          </w:p>
        </w:tc>
      </w:tr>
      <w:tr>
        <w:trPr/>
        <w:tc>
          <w:tcPr>
            <w:tcW w:type="dxa" w:w="223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Session</w:t>
            </w:r>
          </w:p>
        </w:tc>
        <w:tc>
          <w:tcPr>
            <w:tcW w:type="dxa" w:w="78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id, schema_version, revision, state, created_at, updated_at, pack_id/version, exercise_id/version, locale, stage_status, persistence_mode. Parent for all private records.</w:t>
            </w:r>
          </w:p>
        </w:tc>
      </w:tr>
      <w:tr>
        <w:trPr/>
        <w:tc>
          <w:tcPr>
            <w:tcW w:type="dxa" w:w="223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PromptResponse</w:t>
            </w:r>
          </w:p>
        </w:tc>
        <w:tc>
          <w:tcPr>
            <w:tcW w:type="dxa" w:w="78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id, session_id, prompt_id, value, value_type, skipped, created_at. User-entered text remains distinct from generated text.</w:t>
            </w:r>
          </w:p>
        </w:tc>
      </w:tr>
      <w:tr>
        <w:trPr/>
        <w:tc>
          <w:tcPr>
            <w:tcW w:type="dxa" w:w="223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Motivation</w:t>
              <w:br/>
              <w:t>Observation</w:t>
            </w:r>
          </w:p>
        </w:tc>
        <w:tc>
          <w:tcPr>
            <w:tcW w:type="dxa" w:w="78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id, session_id, comparison_group_id, user_label, felt_experience, attention_effects, action_impulse. Supports any number of labels, including none.</w:t>
            </w:r>
          </w:p>
        </w:tc>
      </w:tr>
      <w:tr>
        <w:trPr/>
        <w:tc>
          <w:tcPr>
            <w:tcW w:type="dxa" w:w="223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Claim</w:t>
            </w:r>
          </w:p>
        </w:tc>
        <w:tc>
          <w:tcPr>
            <w:tcW w:type="dxa" w:w="78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id, session_id, text, kind, provenance, confidence_note. Kinds: observation, factual, causal, interpretive, normative, practical or unclassified.</w:t>
            </w:r>
          </w:p>
        </w:tc>
      </w:tr>
      <w:tr>
        <w:trPr/>
        <w:tc>
          <w:tcPr>
            <w:tcW w:type="dxa" w:w="223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SourceReference</w:t>
            </w:r>
          </w:p>
        </w:tc>
        <w:tc>
          <w:tcPr>
            <w:tcW w:type="dxa" w:w="78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id, claim_id, label, optional URL, quoted_excerpt, added_by_user. No automatic trust score or retrieval.</w:t>
            </w:r>
          </w:p>
        </w:tc>
      </w:tr>
      <w:tr>
        <w:trPr/>
        <w:tc>
          <w:tcPr>
            <w:tcW w:type="dxa" w:w="223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ResponsePlan</w:t>
            </w:r>
          </w:p>
        </w:tc>
        <w:tc>
          <w:tcPr>
            <w:tcW w:type="dxa" w:w="78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id, session_id, chosen_response, expected_effects, risks, reversibility_note, waiting_reason, optional review_date. All narrative fields optional.</w:t>
            </w:r>
          </w:p>
        </w:tc>
      </w:tr>
      <w:tr>
        <w:trPr/>
        <w:tc>
          <w:tcPr>
            <w:tcW w:type="dxa" w:w="223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OutcomeReview</w:t>
            </w:r>
          </w:p>
        </w:tc>
        <w:tc>
          <w:tcPr>
            <w:tcW w:type="dxa" w:w="78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id, session_id, plan_revision, occurred_status, observations, unexpected_effects, remaining_unknowns, next_cycle_id, created_at.</w:t>
            </w:r>
          </w:p>
        </w:tc>
      </w:tr>
      <w:tr>
        <w:trPr/>
        <w:tc>
          <w:tcPr>
            <w:tcW w:type="dxa" w:w="223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AssistResult</w:t>
            </w:r>
          </w:p>
        </w:tc>
        <w:tc>
          <w:tcPr>
            <w:tcW w:type="dxa" w:w="78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id, session_id, request_type, input_item_ids, suggestions, provider/model label, prompt_version, created_at. Persist only when user explicitly keeps it.</w:t>
            </w:r>
          </w:p>
        </w:tc>
      </w:tr>
      <w:tr>
        <w:trPr/>
        <w:tc>
          <w:tcPr>
            <w:tcW w:type="dxa" w:w="223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ContentPack and Exercise</w:t>
            </w:r>
          </w:p>
        </w:tc>
        <w:tc>
          <w:tcPr>
            <w:tcW w:type="dxa" w:w="78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id, version, locale, status, content, canonical_prompt_ids, claim_refs, reviewer metadata and compatibility version.</w:t>
            </w:r>
          </w:p>
        </w:tc>
      </w:tr>
    </w:tbl>
    <w:p/>
    <w:p>
      <w:pPr>
        <w:pStyle w:val="Heading2"/>
      </w:pPr>
      <w:r>
        <w:t>Validation and retention</w:t>
      </w:r>
    </w:p>
    <w:p>
      <w:r>
        <w:t>Recommended field limits: 2,000 characters per narrative field, 20,000 total journal characters per session and 10 input items per AI request. Enforce client and server limits consistently with clear messages. Drafts use memory; explicit saves use IndexedDB or a native equivalent. Keep saved sessions until the person deletes them. Do not silently expire them or promise recovery after browser/device data loss.</w:t>
      </w:r>
    </w:p>
    <w:p>
      <w:pPr>
        <w:pStyle w:val="Heading2"/>
      </w:pPr>
      <w:r>
        <w:t>Migration and export</w:t>
      </w:r>
    </w:p>
    <w:p>
      <w:r>
        <w:t>Run forward-only migrations transactionally, preserve the original record on failure and offer export before a destructive format change. Export a manifest with schema version, content versions, creation time and chosen fields. Imports, account sync and merge conflict resolution are deferred. Do not put session IDs or private values in URLs, crash reports or analytics.</w:t>
      </w:r>
    </w:p>
    <w:p>
      <w:pPr>
        <w:pStyle w:val="Heading1"/>
        <w:pageBreakBefore/>
      </w:pPr>
      <w:r>
        <w:t>8 API contracts and AI behavior</w:t>
      </w:r>
    </w:p>
    <w:p>
      <w:r>
        <w:t>These interfaces define logical boundaries. A static model may serve content as files. The assist service is optional and must remain replaceable without changing the journal schema. All traffic uses HTTPS; only approved app origins may call the gateway.</w:t>
      </w:r>
    </w:p>
    <w:tbl>
      <w:tblPr>
        <w:tblW w:type="auto" w:w="0"/>
        <w:jc w:val="center"/>
        <w:tblLayout w:type="fixed"/>
        <w:tblLook w:firstColumn="1" w:firstRow="1" w:lastColumn="0" w:lastRow="0" w:noHBand="0" w:noVBand="1" w:val="04A0"/>
      </w:tblPr>
      <w:tblGrid>
        <w:gridCol w:w="2736"/>
        <w:gridCol w:w="7344"/>
      </w:tblGrid>
      <w:tr>
        <w:trPr>
          <w:tblHeader w:val="true"/>
        </w:trPr>
        <w:tc>
          <w:tcPr>
            <w:tcW w:type="dxa" w:w="27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FEAF0"/>
          </w:tcPr>
          <w:p>
            <w:pPr>
              <w:spacing w:after="40" w:before="20" w:line="240" w:lineRule="auto"/>
            </w:pPr>
            <w:r>
              <w:rPr>
                <w:b/>
                <w:color w:val="000000"/>
                <w:sz w:val="20"/>
              </w:rPr>
              <w:t>Method and route</w:t>
            </w:r>
          </w:p>
        </w:tc>
        <w:tc>
          <w:tcPr>
            <w:tcW w:type="dxa" w:w="734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FEAF0"/>
          </w:tcPr>
          <w:p>
            <w:pPr>
              <w:spacing w:after="40" w:before="20" w:line="240" w:lineRule="auto"/>
            </w:pPr>
            <w:r>
              <w:rPr>
                <w:b/>
                <w:color w:val="000000"/>
                <w:sz w:val="20"/>
              </w:rPr>
              <w:t>Request and response</w:t>
            </w:r>
          </w:p>
        </w:tc>
      </w:tr>
      <w:tr>
        <w:trPr/>
        <w:tc>
          <w:tcPr>
            <w:tcW w:type="dxa" w:w="27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GET /v1/content/manifest</w:t>
            </w:r>
          </w:p>
        </w:tc>
        <w:tc>
          <w:tcPr>
            <w:tcW w:type="dxa" w:w="734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Optional locale. Returns available published pack and exercise IDs, versions, locale availability and integrity hashes. Supports ETag/304.</w:t>
            </w:r>
          </w:p>
        </w:tc>
      </w:tr>
      <w:tr>
        <w:trPr/>
        <w:tc>
          <w:tcPr>
            <w:tcW w:type="dxa" w:w="27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GET /v1/content/packs/</w:t>
              <w:br/>
              <w:t>{id}/{version}</w:t>
            </w:r>
          </w:p>
        </w:tc>
        <w:tc>
          <w:tcPr>
            <w:tcW w:type="dxa" w:w="734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Returns one immutable, schema-validated pack with shared exercise references. Unknown: 404; retired but readable version remains available for saved sessions.</w:t>
            </w:r>
          </w:p>
        </w:tc>
      </w:tr>
      <w:tr>
        <w:trPr/>
        <w:tc>
          <w:tcPr>
            <w:tcW w:type="dxa" w:w="27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POST /v1/assist</w:t>
            </w:r>
          </w:p>
        </w:tc>
        <w:tc>
          <w:tcPr>
            <w:tcW w:type="dxa" w:w="734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Body: request_id, assist_type, locale, exercise_version, input_items[{id,text}], consent_version. Types: questions, organize_claims, summarize, compare_responses. No implicit history.</w:t>
            </w:r>
          </w:p>
        </w:tc>
      </w:tr>
      <w:tr>
        <w:trPr/>
        <w:tc>
          <w:tcPr>
            <w:tcW w:type="dxa" w:w="27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Assist response</w:t>
            </w:r>
          </w:p>
        </w:tc>
        <w:tc>
          <w:tcPr>
            <w:tcW w:type="dxa" w:w="734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request_id, suggestions[{id,type,text,input_refs,status}], limitations, model_label, prompt_version. input_refs must name submitted IDs. status is always proposed until client action.</w:t>
            </w:r>
          </w:p>
        </w:tc>
      </w:tr>
      <w:tr>
        <w:trPr/>
        <w:tc>
          <w:tcPr>
            <w:tcW w:type="dxa" w:w="27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POST /v1/feedback</w:t>
            </w:r>
          </w:p>
        </w:tc>
        <w:tc>
          <w:tcPr>
            <w:tcW w:type="dxa" w:w="734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Optional rating, content IDs, app version and explicit user-approved comment. A preview is required for free text. Returns a receipt without echoing sensitive text.</w:t>
            </w:r>
          </w:p>
        </w:tc>
      </w:tr>
    </w:tbl>
    <w:p/>
    <w:p>
      <w:pPr>
        <w:pStyle w:val="Heading2"/>
      </w:pPr>
      <w:r>
        <w:t>Shared error contract</w:t>
      </w:r>
    </w:p>
    <w:p>
      <w:r>
        <w:t>Return {code, message, retryable, request_id} without copying private content. Use 400 for malformed input, 413 for payload limits, 422 for unknown prompt/content versions, 429 for rate limiting and 503 for provider/service failure. A 30-second client timeout returns control to the user. Never automatically resend private text. The user may explicitly retry; show that it is a new processing request.</w:t>
      </w:r>
    </w:p>
    <w:p>
      <w:pPr>
        <w:pStyle w:val="Heading2"/>
      </w:pPr>
      <w:r>
        <w:t>AI contract</w:t>
      </w:r>
    </w:p>
    <w:p>
      <w:r>
        <w:t>Use structured output, validate against a fixed schema and reject unknown input references. Every substantial summary claim must point to supplied material. The gateway must not browse, retrieve private sources, use tools, take actions or add unsupported factual citations. Treat user text as data, not instructions to the system. Escape output as text, allow only vetted links and retain no raw prompts in application logs.</w:t>
      </w:r>
    </w:p>
    <w:p>
      <w:r>
        <w:t>The assistant may ask open questions, organize claims and offer several candidate next steps. It may not assign motives to absent people, diagnose the user, pronounce a worldview superior, claim that a suggestion is impartial or decide who has legitimate authority. Rejection of an AI suggestion must not reduce access to any feature.</w:t>
      </w:r>
    </w:p>
    <w:p>
      <w:pPr>
        <w:pStyle w:val="Heading2"/>
      </w:pPr>
      <w:r>
        <w:t>Credential and service boundary</w:t>
      </w:r>
    </w:p>
    <w:p>
      <w:r>
        <w:t>Provider credentials exist only in server-managed secrets. For an anonymous model, combine an origin-bound short-lived request token, per-network limits and a small per-session request budget; network abuse controls must not become behavioral profiles. Do not promise anonymity from the hosting provider. Confirm provider retention, model-training exclusions and subprocessors before real personal text is allowed.</w:t>
      </w:r>
    </w:p>
    <w:p>
      <w:pPr>
        <w:pStyle w:val="Heading1"/>
        <w:pageBreakBefore/>
      </w:pPr>
      <w:r>
        <w:t>9 Privacy security and safety</w:t>
      </w:r>
    </w:p>
    <w:p>
      <w:pPr>
        <w:pStyle w:val="Heading2"/>
      </w:pPr>
      <w:r>
        <w:t>Data handling defaults</w:t>
      </w:r>
    </w:p>
    <w:p>
      <w:r>
        <w:t>Treat reflections as potentially sensitive, even when the app does not request health, religion, political affiliation or identity information. Ask users to avoid names and identifying details about other people. The MVP shall not read contacts, social accounts, location, camera or microphone, and shall not scrape private conversations. A social link must not trigger social account access.</w:t>
      </w:r>
    </w:p>
    <w:p>
      <w:r>
        <w:t>Local saving is explicit. Device/browser storage is not end-to-end encryption and may be visible to someone with device access or compromised app code. Explain this accurately. Production cloud sync, recovery and native secure storage require a separate security design; do not add them behind a settings toggle without approval.</w:t>
      </w:r>
    </w:p>
    <w:p>
      <w:pPr>
        <w:pStyle w:val="Heading2"/>
      </w:pPr>
      <w:r>
        <w:t>AI and feedback transmissions</w:t>
      </w:r>
    </w:p>
    <w:p>
      <w:r>
        <w:t>Before transmission, show which fields leave the device and who processes them. Consent applies to the selected request, not all future reflections. Disable AI for real personal content until the actual provider contract, retention and training settings have been verified. A demonstrator may use fictional examples while this is unresolved. Optional free-text feedback needs its own preview and must not attach journal content automatically.</w:t>
      </w:r>
    </w:p>
    <w:p>
      <w:pPr>
        <w:pStyle w:val="Heading2"/>
      </w:pPr>
      <w:r>
        <w:t>Security controls</w:t>
      </w:r>
    </w:p>
    <w:p>
      <w:pPr>
        <w:pStyle w:val="ListBullet"/>
      </w:pPr>
      <w:r>
        <w:t>Strict content security policy, trusted dependencies, no arbitrary pack scripts, safe text rendering, restricted outbound endpoints and no embedded advertising or third-party tracking pixels.</w:t>
      </w:r>
    </w:p>
    <w:p>
      <w:pPr>
        <w:pStyle w:val="ListBullet"/>
      </w:pPr>
      <w:r>
        <w:t>TLS, protected server secrets, request/body limits, rate limits, dependency scanning and access-controlled deployment. Log operational codes and timings without journal content, raw input or full sensitive URLs.</w:t>
      </w:r>
    </w:p>
    <w:p>
      <w:pPr>
        <w:pStyle w:val="ListBullet"/>
      </w:pPr>
      <w:r>
        <w:t>Use only local operations for session reads, writes, delete and export. Confirm deletion scope; test every IndexedDB store and service-worker cache for remnants. Backups and exports are outside local delete.</w:t>
      </w:r>
    </w:p>
    <w:p>
      <w:pPr>
        <w:pStyle w:val="ListBullet"/>
      </w:pPr>
      <w:r>
        <w:t>Content publication requires authenticated maintainer access, review history and least privilege. No public or unauthenticated publishing endpoint.</w:t>
      </w:r>
    </w:p>
    <w:p>
      <w:pPr>
        <w:pStyle w:val="Heading2"/>
      </w:pPr>
      <w:r>
        <w:t>Emotional and interpersonal safety</w:t>
      </w:r>
    </w:p>
    <w:p>
      <w:r>
        <w:t>Keep a visible stop control and allow neutral examples. Do not urge people to remain in an unsafe interaction, confront another person, forgive someone or take an action because an AI selected it. The app is an experimental reflection tool, not a crisis service, therapy, a mediator or an authority for legal or medical decisions. Provide a reviewed help route appropriate to the launch region without claiming live monitoring of journal entries.</w:t>
      </w:r>
    </w:p>
    <w:p>
      <w:pPr>
        <w:pStyle w:val="Heading2"/>
      </w:pPr>
      <w:r>
        <w:t>Social and research expansion gates</w:t>
      </w:r>
    </w:p>
    <w:p>
      <w:r>
        <w:t>Before groups or public posts: define consent for contributions, audience controls, invitation abuse prevention, moderation, reporting, blocking, appeals and withdrawal behavior. Before research collection: approve a separate study protocol, consent, withdrawal, retention and access rules. Product analytics consent must never enroll a user in a study. Neither expansion belongs in the first private model.</w:t>
      </w:r>
    </w:p>
    <w:p>
      <w:pPr>
        <w:pStyle w:val="Heading1"/>
        <w:pageBreakBefore/>
      </w:pPr>
      <w:r>
        <w:t>10 Accessibility failure behavior and quality</w:t>
      </w:r>
    </w:p>
    <w:p>
      <w:pPr>
        <w:pStyle w:val="Heading2"/>
      </w:pPr>
      <w:r>
        <w:t>Phone and accessibility targets</w:t>
      </w:r>
    </w:p>
    <w:p>
      <w:r>
        <w:t>Recommended release target: WCAG 2.2 AA, verified by automated checks and manual testing. Support 320 CSS-pixel width without horizontal scrolling, portrait and landscape, large text and 200 percent zoom. Use at least 44 by 44 CSS-pixel touch targets where practicable, visible focus, sufficient contrast and labels that do not rely on color alone.</w:t>
      </w:r>
    </w:p>
    <w:p>
      <w:r>
        <w:t>Test VoiceOver and TalkBack, keyboard navigation, reduced motion, captions/transcripts, logical focus after screen changes and inline errors announced to assistive technology. Timed exercises must be pausable and untimed equivalents available. Respect sensory differences; no task may require seeing, hearing or feeling a specified sensation to continue.</w:t>
      </w:r>
    </w:p>
    <w:p>
      <w:pPr>
        <w:pStyle w:val="Heading2"/>
      </w:pPr>
      <w:r>
        <w:t>Failure behavior</w:t>
      </w:r>
    </w:p>
    <w:tbl>
      <w:tblPr>
        <w:tblW w:type="auto" w:w="0"/>
        <w:jc w:val="center"/>
        <w:tblLayout w:type="fixed"/>
        <w:tblLook w:firstColumn="1" w:firstRow="1" w:lastColumn="0" w:lastRow="0" w:noHBand="0" w:noVBand="1" w:val="04A0"/>
      </w:tblPr>
      <w:tblGrid>
        <w:gridCol w:w="2952"/>
        <w:gridCol w:w="7128"/>
      </w:tblGrid>
      <w:tr>
        <w:trPr>
          <w:tblHeader w:val="true"/>
        </w:trPr>
        <w:tc>
          <w:tcPr>
            <w:tcW w:type="dxa" w:w="29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FEAF0"/>
          </w:tcPr>
          <w:p>
            <w:pPr>
              <w:spacing w:after="40" w:before="20" w:line="240" w:lineRule="auto"/>
            </w:pPr>
            <w:r>
              <w:rPr>
                <w:b/>
                <w:color w:val="000000"/>
                <w:sz w:val="20"/>
              </w:rPr>
              <w:t>Condition</w:t>
            </w:r>
          </w:p>
        </w:tc>
        <w:tc>
          <w:tcPr>
            <w:tcW w:type="dxa" w:w="712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FEAF0"/>
          </w:tcPr>
          <w:p>
            <w:pPr>
              <w:spacing w:after="40" w:before="20" w:line="240" w:lineRule="auto"/>
            </w:pPr>
            <w:r>
              <w:rPr>
                <w:b/>
                <w:color w:val="000000"/>
                <w:sz w:val="20"/>
              </w:rPr>
              <w:t>Required result</w:t>
            </w:r>
          </w:p>
        </w:tc>
      </w:tr>
      <w:tr>
        <w:trPr/>
        <w:tc>
          <w:tcPr>
            <w:tcW w:type="dxa" w:w="29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No network or slow network</w:t>
            </w:r>
          </w:p>
        </w:tc>
        <w:tc>
          <w:tcPr>
            <w:tcW w:type="dxa" w:w="712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Core loaded content and saved journals remain usable. Clearly disable AI. Preserve entered text; do not auto-upload when connectivity returns.</w:t>
            </w:r>
          </w:p>
        </w:tc>
      </w:tr>
      <w:tr>
        <w:trPr/>
        <w:tc>
          <w:tcPr>
            <w:tcW w:type="dxa" w:w="29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AI timeout or invalid response</w:t>
            </w:r>
          </w:p>
        </w:tc>
        <w:tc>
          <w:tcPr>
            <w:tcW w:type="dxa" w:w="712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Offer the original human-authored prompts, dismiss or explicit retry. Never show a partial unvalidated verdict or silently substitute invented text.</w:t>
            </w:r>
          </w:p>
        </w:tc>
      </w:tr>
      <w:tr>
        <w:trPr/>
        <w:tc>
          <w:tcPr>
            <w:tcW w:type="dxa" w:w="29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Storage quota or disabled storage</w:t>
            </w:r>
          </w:p>
        </w:tc>
        <w:tc>
          <w:tcPr>
            <w:tcW w:type="dxa" w:w="712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Show “Not saved” and retain the in-memory draft. Offer export; never show a successful save state.</w:t>
            </w:r>
          </w:p>
        </w:tc>
      </w:tr>
      <w:tr>
        <w:trPr/>
        <w:tc>
          <w:tcPr>
            <w:tcW w:type="dxa" w:w="29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Browser closed or process killed</w:t>
            </w:r>
          </w:p>
        </w:tc>
        <w:tc>
          <w:tcPr>
            <w:tcW w:type="dxa" w:w="712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Session-only text may be lost, as explained before entry. Explicitly saved records must reopen at the last committed revision.</w:t>
            </w:r>
          </w:p>
        </w:tc>
      </w:tr>
      <w:tr>
        <w:trPr/>
        <w:tc>
          <w:tcPr>
            <w:tcW w:type="dxa" w:w="29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Broken or unknown deep link</w:t>
            </w:r>
          </w:p>
        </w:tc>
        <w:tc>
          <w:tcPr>
            <w:tcW w:type="dxa" w:w="712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Open a safe content chooser with available language options. Do not drop the person onto an unrelated culture-specific entry.</w:t>
            </w:r>
          </w:p>
        </w:tc>
      </w:tr>
      <w:tr>
        <w:trPr/>
        <w:tc>
          <w:tcPr>
            <w:tcW w:type="dxa" w:w="29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Content version or migration error</w:t>
            </w:r>
          </w:p>
        </w:tc>
        <w:tc>
          <w:tcPr>
            <w:tcW w:type="dxa" w:w="712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Keep the original journal readable/exportable. Block only incompatible edits and offer a known-good exercise.</w:t>
            </w:r>
          </w:p>
        </w:tc>
      </w:tr>
      <w:tr>
        <w:trPr/>
        <w:tc>
          <w:tcPr>
            <w:tcW w:type="dxa" w:w="295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External source or share action</w:t>
            </w:r>
          </w:p>
        </w:tc>
        <w:tc>
          <w:tcPr>
            <w:tcW w:type="dxa" w:w="712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Use a user-initiated action and preserve the local session. Handle cancellation without marking anything as sent.</w:t>
            </w:r>
          </w:p>
        </w:tc>
      </w:tr>
    </w:tbl>
    <w:p/>
    <w:p>
      <w:pPr>
        <w:pStyle w:val="Heading2"/>
      </w:pPr>
      <w:r>
        <w:t>Performance and reliability budgets</w:t>
      </w:r>
    </w:p>
    <w:p>
      <w:r>
        <w:t>Proposed pilot targets: first usable entry within 3 seconds on a representative mid-range phone and simulated fast 4G; primary UI response within 100 milliseconds; local save confirmation within 500 milliseconds for a typical session. Measure separately from optional media or AI latency. Initial app and text-content transfer should stay below 500 KB compressed, excluding optional media. These are test budgets to confirm during the technical spike, not current measurements.</w:t>
      </w:r>
    </w:p>
    <w:p>
      <w:r>
        <w:t>Support current stable iOS Safari and Android Chrome plus the selected social in-app browsers at pilot time. Record exact tested versions in the release report. Do not advertise universal phone compatibility until verified.</w:t>
      </w:r>
    </w:p>
    <w:p>
      <w:pPr>
        <w:pStyle w:val="Heading1"/>
        <w:pageBreakBefore/>
      </w:pPr>
      <w:r>
        <w:t>11 Acceptance and test plan</w:t>
      </w:r>
    </w:p>
    <w:p>
      <w:r>
        <w:t>A release candidate passes only when the core journey, data boundaries and failure paths work on real phones. Use fictional content for automated tests and obtain explicit consent for any usability study. “All participants agreed” is not a software acceptance criterion.</w:t>
      </w:r>
    </w:p>
    <w:tbl>
      <w:tblPr>
        <w:tblW w:type="auto" w:w="0"/>
        <w:jc w:val="center"/>
        <w:tblLayout w:type="fixed"/>
        <w:tblLook w:firstColumn="1" w:firstRow="1" w:lastColumn="0" w:lastRow="0" w:noHBand="0" w:noVBand="1" w:val="04A0"/>
      </w:tblPr>
      <w:tblGrid>
        <w:gridCol w:w="936"/>
        <w:gridCol w:w="7848"/>
        <w:gridCol w:w="1296"/>
      </w:tblGrid>
      <w:tr>
        <w:trPr>
          <w:tblHeader w:val="true"/>
        </w:trPr>
        <w:tc>
          <w:tcPr>
            <w:tcW w:type="dxa" w:w="9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FEAF0"/>
          </w:tcPr>
          <w:p>
            <w:pPr>
              <w:spacing w:after="40" w:before="20" w:line="240" w:lineRule="auto"/>
            </w:pPr>
            <w:r>
              <w:rPr>
                <w:b/>
                <w:color w:val="000000"/>
                <w:sz w:val="20"/>
              </w:rPr>
              <w:t>Test</w:t>
            </w:r>
          </w:p>
        </w:tc>
        <w:tc>
          <w:tcPr>
            <w:tcW w:type="dxa" w:w="78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FEAF0"/>
          </w:tcPr>
          <w:p>
            <w:pPr>
              <w:spacing w:after="40" w:before="20" w:line="240" w:lineRule="auto"/>
            </w:pPr>
            <w:r>
              <w:rPr>
                <w:b/>
                <w:color w:val="000000"/>
                <w:sz w:val="20"/>
              </w:rPr>
              <w:t>Given and expected result</w:t>
            </w:r>
          </w:p>
        </w:tc>
        <w:tc>
          <w:tcPr>
            <w:tcW w:type="dxa" w:w="12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FEAF0"/>
          </w:tcPr>
          <w:p>
            <w:pPr>
              <w:spacing w:after="40" w:before="20" w:line="240" w:lineRule="auto"/>
            </w:pPr>
            <w:r>
              <w:rPr>
                <w:b/>
                <w:color w:val="000000"/>
                <w:sz w:val="20"/>
              </w:rPr>
              <w:t>Trace</w:t>
            </w:r>
          </w:p>
        </w:tc>
      </w:tr>
      <w:tr>
        <w:trPr/>
        <w:tc>
          <w:tcPr>
            <w:tcW w:type="dxa" w:w="9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AT01</w:t>
            </w:r>
          </w:p>
        </w:tc>
        <w:tc>
          <w:tcPr>
            <w:tcW w:type="dxa" w:w="78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Open each valid cultural deep link on iOS and Android; matching invitation appears and core flow begins without signup. Invalid links use a safe chooser.</w:t>
            </w:r>
          </w:p>
        </w:tc>
        <w:tc>
          <w:tcPr>
            <w:tcW w:type="dxa" w:w="12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FR01–02</w:t>
            </w:r>
          </w:p>
        </w:tc>
      </w:tr>
      <w:tr>
        <w:trPr/>
        <w:tc>
          <w:tcPr>
            <w:tcW w:type="dxa" w:w="9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AT02</w:t>
            </w:r>
          </w:p>
        </w:tc>
        <w:tc>
          <w:tcPr>
            <w:tcW w:type="dxa" w:w="78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Switch pack or language mid-session; original answers remain unchanged and core prompt IDs remain stable.</w:t>
            </w:r>
          </w:p>
        </w:tc>
        <w:tc>
          <w:tcPr>
            <w:tcW w:type="dxa" w:w="12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FR02, FR14</w:t>
            </w:r>
          </w:p>
        </w:tc>
      </w:tr>
      <w:tr>
        <w:trPr/>
        <w:tc>
          <w:tcPr>
            <w:tcW w:type="dxa" w:w="9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AT03</w:t>
            </w:r>
          </w:p>
        </w:tc>
        <w:tc>
          <w:tcPr>
            <w:tcW w:type="dxa" w:w="78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Complete the full journey using only human-authored content, with AI declined and every optional stage skipped where desired.</w:t>
            </w:r>
          </w:p>
        </w:tc>
        <w:tc>
          <w:tcPr>
            <w:tcW w:type="dxa" w:w="12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FR03–10</w:t>
            </w:r>
          </w:p>
        </w:tc>
      </w:tr>
      <w:tr>
        <w:trPr/>
        <w:tc>
          <w:tcPr>
            <w:tcW w:type="dxa" w:w="9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AT04</w:t>
            </w:r>
          </w:p>
        </w:tc>
        <w:tc>
          <w:tcPr>
            <w:tcW w:type="dxa" w:w="78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Choose mixed/uncertain motivations, reject a comparison and enter “no change”; no scoring, validation failure or pressure appears.</w:t>
            </w:r>
          </w:p>
        </w:tc>
        <w:tc>
          <w:tcPr>
            <w:tcW w:type="dxa" w:w="12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FR05–06</w:t>
            </w:r>
          </w:p>
        </w:tc>
      </w:tr>
      <w:tr>
        <w:trPr/>
        <w:tc>
          <w:tcPr>
            <w:tcW w:type="dxa" w:w="9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AT05</w:t>
            </w:r>
          </w:p>
        </w:tc>
        <w:tc>
          <w:tcPr>
            <w:tcW w:type="dxa" w:w="78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Choose deliberate waiting or exit; finish without consensus, action or an endorsed moral answer.</w:t>
            </w:r>
          </w:p>
        </w:tc>
        <w:tc>
          <w:tcPr>
            <w:tcW w:type="dxa" w:w="12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FR07–09</w:t>
            </w:r>
          </w:p>
        </w:tc>
      </w:tr>
      <w:tr>
        <w:trPr/>
        <w:tc>
          <w:tcPr>
            <w:tcW w:type="dxa" w:w="9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AT06</w:t>
            </w:r>
          </w:p>
        </w:tc>
        <w:tc>
          <w:tcPr>
            <w:tcW w:type="dxa" w:w="78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Request AI for two selected items; capture network payload and verify only those items and approved metadata leave the phone.</w:t>
            </w:r>
          </w:p>
        </w:tc>
        <w:tc>
          <w:tcPr>
            <w:tcW w:type="dxa" w:w="12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FR10</w:t>
            </w:r>
          </w:p>
        </w:tc>
      </w:tr>
      <w:tr>
        <w:trPr/>
        <w:tc>
          <w:tcPr>
            <w:tcW w:type="dxa" w:w="9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AT07</w:t>
            </w:r>
          </w:p>
        </w:tc>
        <w:tc>
          <w:tcPr>
            <w:tcW w:type="dxa" w:w="78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Return fabricated input references, unsafe markup or instruction injection; reject invalid output and preserve original inputs.</w:t>
            </w:r>
          </w:p>
        </w:tc>
        <w:tc>
          <w:tcPr>
            <w:tcW w:type="dxa" w:w="12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FR11, API</w:t>
            </w:r>
          </w:p>
        </w:tc>
      </w:tr>
      <w:tr>
        <w:trPr/>
        <w:tc>
          <w:tcPr>
            <w:tcW w:type="dxa" w:w="9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AT08</w:t>
            </w:r>
          </w:p>
        </w:tc>
        <w:tc>
          <w:tcPr>
            <w:tcW w:type="dxa" w:w="78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Edit or reject a summary; original words remain distinguishable and rejection has no penalty.</w:t>
            </w:r>
          </w:p>
        </w:tc>
        <w:tc>
          <w:tcPr>
            <w:tcW w:type="dxa" w:w="12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FR11</w:t>
            </w:r>
          </w:p>
        </w:tc>
      </w:tr>
      <w:tr>
        <w:trPr/>
        <w:tc>
          <w:tcPr>
            <w:tcW w:type="dxa" w:w="9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AT09</w:t>
            </w:r>
          </w:p>
        </w:tc>
        <w:tc>
          <w:tcPr>
            <w:tcW w:type="dxa" w:w="78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Save, restart and review; plan and later outcome remain separate. In session-only mode, verify no durable journal write.</w:t>
            </w:r>
          </w:p>
        </w:tc>
        <w:tc>
          <w:tcPr>
            <w:tcW w:type="dxa" w:w="12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FR09, FR12</w:t>
            </w:r>
          </w:p>
        </w:tc>
      </w:tr>
      <w:tr>
        <w:trPr/>
        <w:tc>
          <w:tcPr>
            <w:tcW w:type="dxa" w:w="9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AT10</w:t>
            </w:r>
          </w:p>
        </w:tc>
        <w:tc>
          <w:tcPr>
            <w:tcW w:type="dxa" w:w="78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Trigger quota failure and migration failure; show honest state, preserve last valid record and offer export.</w:t>
            </w:r>
          </w:p>
        </w:tc>
        <w:tc>
          <w:tcPr>
            <w:tcW w:type="dxa" w:w="12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FR12, Data</w:t>
            </w:r>
          </w:p>
        </w:tc>
      </w:tr>
      <w:tr>
        <w:trPr/>
        <w:tc>
          <w:tcPr>
            <w:tcW w:type="dxa" w:w="9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AT11</w:t>
            </w:r>
          </w:p>
        </w:tc>
        <w:tc>
          <w:tcPr>
            <w:tcW w:type="dxa" w:w="78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Delete one session and then all sessions; verify every journal store, linked record and relevant cache, with no unrelated deletion.</w:t>
            </w:r>
          </w:p>
        </w:tc>
        <w:tc>
          <w:tcPr>
            <w:tcW w:type="dxa" w:w="12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FR13</w:t>
            </w:r>
          </w:p>
        </w:tc>
      </w:tr>
      <w:tr>
        <w:trPr/>
        <w:tc>
          <w:tcPr>
            <w:tcW w:type="dxa" w:w="9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AT12</w:t>
            </w:r>
          </w:p>
        </w:tc>
        <w:tc>
          <w:tcPr>
            <w:tcW w:type="dxa" w:w="78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Export chosen fields; preview matches files, default AI drafts are excluded and no campaign identifier or secret appears.</w:t>
            </w:r>
          </w:p>
        </w:tc>
        <w:tc>
          <w:tcPr>
            <w:tcW w:type="dxa" w:w="12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FR13</w:t>
            </w:r>
          </w:p>
        </w:tc>
      </w:tr>
      <w:tr>
        <w:trPr/>
        <w:tc>
          <w:tcPr>
            <w:tcW w:type="dxa" w:w="9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AT13</w:t>
            </w:r>
          </w:p>
        </w:tc>
        <w:tc>
          <w:tcPr>
            <w:tcW w:type="dxa" w:w="78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Submit invalid or unreviewed content pack; publication fails. Old saved sessions preserve their content version.</w:t>
            </w:r>
          </w:p>
        </w:tc>
        <w:tc>
          <w:tcPr>
            <w:tcW w:type="dxa" w:w="12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FR14</w:t>
            </w:r>
          </w:p>
        </w:tc>
      </w:tr>
      <w:tr>
        <w:trPr/>
        <w:tc>
          <w:tcPr>
            <w:tcW w:type="dxa" w:w="9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AT14</w:t>
            </w:r>
          </w:p>
        </w:tc>
        <w:tc>
          <w:tcPr>
            <w:tcW w:type="dxa" w:w="78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Audit requests, logs and analytics through every screen; no reflection, motivation, source text or private URL enters telemetry.</w:t>
            </w:r>
          </w:p>
        </w:tc>
        <w:tc>
          <w:tcPr>
            <w:tcW w:type="dxa" w:w="12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FR15, Privacy</w:t>
            </w:r>
          </w:p>
        </w:tc>
      </w:tr>
      <w:tr>
        <w:trPr/>
        <w:tc>
          <w:tcPr>
            <w:tcW w:type="dxa" w:w="9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AT15</w:t>
            </w:r>
          </w:p>
        </w:tc>
        <w:tc>
          <w:tcPr>
            <w:tcW w:type="dxa" w:w="78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Complete flow with screen reader, large text, narrow viewport, reduced motion, external keyboard and translated/RTL pack.</w:t>
            </w:r>
          </w:p>
        </w:tc>
        <w:tc>
          <w:tcPr>
            <w:tcW w:type="dxa" w:w="12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Accessibility</w:t>
            </w:r>
          </w:p>
        </w:tc>
      </w:tr>
      <w:tr>
        <w:trPr/>
        <w:tc>
          <w:tcPr>
            <w:tcW w:type="dxa" w:w="9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AT16</w:t>
            </w:r>
          </w:p>
        </w:tc>
        <w:tc>
          <w:tcPr>
            <w:tcW w:type="dxa" w:w="78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Test offline, reconnect, AI 429/503 and timeout; no background retry of personal text and core navigation remains available.</w:t>
            </w:r>
          </w:p>
        </w:tc>
        <w:tc>
          <w:tcPr>
            <w:tcW w:type="dxa" w:w="12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Failures</w:t>
            </w:r>
          </w:p>
        </w:tc>
      </w:tr>
    </w:tbl>
    <w:p/>
    <w:p>
      <w:pPr>
        <w:pStyle w:val="Heading1"/>
        <w:pageBreakBefore/>
      </w:pPr>
      <w:r>
        <w:t>12 Delivery sequence and decisions</w:t>
      </w:r>
    </w:p>
    <w:p>
      <w:pPr>
        <w:pStyle w:val="Heading2"/>
      </w:pPr>
      <w:r>
        <w:t>Proposed delivery sequence</w:t>
      </w:r>
    </w:p>
    <w:p>
      <w:r>
        <w:t>Step 1: approve the core practice, scope, mobile delivery choice and data policy. Produce a clickable phone flow and three draft entry packs. Test whether the invitations communicate the same underlying practice without requiring the same vocabulary.</w:t>
      </w:r>
    </w:p>
    <w:p>
      <w:r>
        <w:t>Step 2: build the deterministic client, local journal and versioned content pipeline. Implement tests AT01–05 and AT09–16 first. A usable private model does not depend on AI.</w:t>
      </w:r>
    </w:p>
    <w:p>
      <w:r>
        <w:t>Step 3: add the optional gateway behind a feature flag after provider and privacy approval. Verify AI rejection, reference integrity, transmission consent and failure behavior before using real reflections.</w:t>
      </w:r>
    </w:p>
    <w:p>
      <w:r>
        <w:t>Step 4: run a small consented usability pilot across contrasting entry experiences. Resolve comprehension, accessibility and privacy failures. Consider group inquiry only after the private cycle is understood and useful. These steps are scope gates, not a schedule or staffing commitment.</w:t>
      </w:r>
    </w:p>
    <w:p>
      <w:pPr>
        <w:pStyle w:val="Heading2"/>
      </w:pPr>
      <w:r>
        <w:t>Decisions needed before implementation</w:t>
      </w:r>
    </w:p>
    <w:tbl>
      <w:tblPr>
        <w:tblW w:type="auto" w:w="0"/>
        <w:jc w:val="center"/>
        <w:tblLayout w:type="fixed"/>
        <w:tblLook w:firstColumn="1" w:firstRow="1" w:lastColumn="0" w:lastRow="0" w:noHBand="0" w:noVBand="1" w:val="04A0"/>
      </w:tblPr>
      <w:tblGrid>
        <w:gridCol w:w="2160"/>
        <w:gridCol w:w="5688"/>
        <w:gridCol w:w="2232"/>
      </w:tblGrid>
      <w:tr>
        <w:trPr>
          <w:tblHeader w:val="true"/>
        </w:trPr>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FEAF0"/>
          </w:tcPr>
          <w:p>
            <w:pPr>
              <w:spacing w:after="40" w:before="20" w:line="240" w:lineRule="auto"/>
            </w:pPr>
            <w:r>
              <w:rPr>
                <w:b/>
                <w:color w:val="000000"/>
                <w:sz w:val="20"/>
              </w:rPr>
              <w:t>Decision</w:t>
            </w:r>
          </w:p>
        </w:tc>
        <w:tc>
          <w:tcPr>
            <w:tcW w:type="dxa" w:w="568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FEAF0"/>
          </w:tcPr>
          <w:p>
            <w:pPr>
              <w:spacing w:after="40" w:before="20" w:line="240" w:lineRule="auto"/>
            </w:pPr>
            <w:r>
              <w:rPr>
                <w:b/>
                <w:color w:val="000000"/>
                <w:sz w:val="20"/>
              </w:rPr>
              <w:t>Recommended starting point</w:t>
            </w:r>
          </w:p>
        </w:tc>
        <w:tc>
          <w:tcPr>
            <w:tcW w:type="dxa" w:w="223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FEAF0"/>
          </w:tcPr>
          <w:p>
            <w:pPr>
              <w:spacing w:after="40" w:before="20" w:line="240" w:lineRule="auto"/>
            </w:pPr>
            <w:r>
              <w:rPr>
                <w:b/>
                <w:color w:val="000000"/>
                <w:sz w:val="20"/>
              </w:rPr>
              <w:t>Who confirms</w:t>
            </w:r>
          </w:p>
        </w:tc>
      </w:tr>
      <w:tr>
        <w:trPr/>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Delivery platform</w:t>
            </w:r>
          </w:p>
        </w:tc>
        <w:tc>
          <w:tcPr>
            <w:tcW w:type="dxa" w:w="568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Mobile-first web/PWA for the model; evaluate native only after in-app-browser testing.</w:t>
            </w:r>
          </w:p>
        </w:tc>
        <w:tc>
          <w:tcPr>
            <w:tcW w:type="dxa" w:w="223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Alan and Jake</w:t>
            </w:r>
          </w:p>
        </w:tc>
      </w:tr>
      <w:tr>
        <w:trPr/>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Practice and content</w:t>
            </w:r>
          </w:p>
        </w:tc>
        <w:tc>
          <w:tcPr>
            <w:tcW w:type="dxa" w:w="568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Jake reviews the common exercise; local contributors review cultural examples.</w:t>
            </w:r>
          </w:p>
        </w:tc>
        <w:tc>
          <w:tcPr>
            <w:tcW w:type="dxa" w:w="223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Jake and content lead</w:t>
            </w:r>
          </w:p>
        </w:tc>
      </w:tr>
      <w:tr>
        <w:trPr/>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Pilot audience and languages</w:t>
            </w:r>
          </w:p>
        </w:tc>
        <w:tc>
          <w:tcPr>
            <w:tcW w:type="dxa" w:w="568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Adults, limited named communities and explicitly selected locales; no broad demographic inference.</w:t>
            </w:r>
          </w:p>
        </w:tc>
        <w:tc>
          <w:tcPr>
            <w:tcW w:type="dxa" w:w="223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Product/research leads</w:t>
            </w:r>
          </w:p>
        </w:tc>
      </w:tr>
      <w:tr>
        <w:trPr/>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AI and provider</w:t>
            </w:r>
          </w:p>
        </w:tc>
        <w:tc>
          <w:tcPr>
            <w:tcW w:type="dxa" w:w="568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Optional; no real sensitive input until processing terms and controls are verified.</w:t>
            </w:r>
          </w:p>
        </w:tc>
        <w:tc>
          <w:tcPr>
            <w:tcW w:type="dxa" w:w="223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Product and security/privacy leads</w:t>
            </w:r>
          </w:p>
        </w:tc>
      </w:tr>
      <w:tr>
        <w:trPr/>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Persistence and retention</w:t>
            </w:r>
          </w:p>
        </w:tc>
        <w:tc>
          <w:tcPr>
            <w:tcW w:type="dxa" w:w="568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Device-only, explicit saving; no account, sync, notifications or research capture.</w:t>
            </w:r>
          </w:p>
        </w:tc>
        <w:tc>
          <w:tcPr>
            <w:tcW w:type="dxa" w:w="223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Product lead</w:t>
            </w:r>
          </w:p>
        </w:tc>
      </w:tr>
      <w:tr>
        <w:trPr/>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Scope after the model</w:t>
            </w:r>
          </w:p>
        </w:tc>
        <w:tc>
          <w:tcPr>
            <w:tcW w:type="dxa" w:w="568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Choose whether next investment is group deliberation, deeper practice or distribution.</w:t>
            </w:r>
          </w:p>
        </w:tc>
        <w:tc>
          <w:tcPr>
            <w:tcW w:type="dxa" w:w="223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Alan and Jake</w:t>
            </w:r>
          </w:p>
        </w:tc>
      </w:tr>
      <w:tr>
        <w:trPr/>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Ownership and resources</w:t>
            </w:r>
          </w:p>
        </w:tc>
        <w:tc>
          <w:tcPr>
            <w:tcW w:type="dxa" w:w="568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Name engineering, content, support and security owners; estimate after prototype review.</w:t>
            </w:r>
          </w:p>
        </w:tc>
        <w:tc>
          <w:tcPr>
            <w:tcW w:type="dxa" w:w="223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FFFFFF"/>
          </w:tcPr>
          <w:p>
            <w:pPr>
              <w:spacing w:after="40" w:before="20" w:line="240" w:lineRule="auto"/>
            </w:pPr>
            <w:r>
              <w:rPr>
                <w:b w:val="0"/>
                <w:color w:val="000000"/>
                <w:sz w:val="20"/>
              </w:rPr>
              <w:t>Project sponsor</w:t>
            </w:r>
          </w:p>
        </w:tc>
      </w:tr>
    </w:tbl>
    <w:p/>
    <w:p>
      <w:pPr>
        <w:pStyle w:val="Heading2"/>
      </w:pPr>
      <w:r>
        <w:t>Evaluate the right questions</w:t>
      </w:r>
    </w:p>
    <w:p>
      <w:r>
        <w:t>Track comprehension, ability to complete or leave, perceived usefulness and voluntary return as product signals. A separate research design must examine attentional change, lived motivation, inquiry and practical outcomes independently. Cross-cultural similarities and differences are both findings. Do not infer better conduct from completion, a calm tone, greater agreement or more time spent in the app.</w:t>
      </w:r>
    </w:p>
    <w:p>
      <w:pPr>
        <w:pStyle w:val="Heading2"/>
      </w:pPr>
      <w:r>
        <w:t>Explicit non goals</w:t>
      </w:r>
    </w:p>
    <w:p>
      <w:r>
        <w:t>The MVP does not resolve disputes authoritatively, replace institutions, guarantee cooperation, diagnose people, establish a universal moral standard, optimize a public feed, publish personal reflections or act for a user. It does not prove that Global Attentiveness works or that it is the right practice for every person or context.</w:t>
      </w:r>
    </w:p>
    <w:p>
      <w:pPr>
        <w:pStyle w:val="Heading1"/>
        <w:pageBreakBefore/>
      </w:pPr>
      <w:r>
        <w:t>13 Requirement sources</w:t>
      </w:r>
    </w:p>
    <w:p>
      <w:pPr>
        <w:pStyle w:val="Heading2"/>
      </w:pPr>
      <w:r>
        <w:t>Requirement provenance</w:t>
      </w:r>
    </w:p>
    <w:p>
      <w:r>
        <w:t>J0. In earlier self-identified contributions, Jake challenges justice, better and agency as uncontested goals; seeks a less loaded basis for inquiry and evidence; remains open to there being no such basis; and raises the cost of recursive negotiation when another group seeks to impose its view. These constraints inform the open-ended worksheet and valid exit paths.</w:t>
      </w:r>
    </w:p>
    <w:p>
      <w:r>
        <w:t>J1. Jake asks whether AI and social media could implement the discussion in an app. The assistant introduces “Reflecting Minds” as a working name and proposes attention/evidence/disagreement maps, next-step support, social attention cards and a staged rollout.</w:t>
      </w:r>
    </w:p>
    <w:p>
      <w:r>
        <w:t>J2. Jake asks what John Lewis’s work adds to the research and app. The assistant discusses the relationship between reflection, participation, power and practical response. These suggestions are context, not an instruction to automate activism.</w:t>
      </w:r>
    </w:p>
    <w:p>
      <w:r>
        <w:t>J3. Jake asks how the challenge of changing how one lives should enter Reflecting Minds, then explicitly refines Global Attentiveness as a global reduction in affective attentional bias and increased generalized alertness across experiential modalities.</w:t>
      </w:r>
    </w:p>
    <w:p>
      <w:r>
        <w:t>J4. Jake asks to create a model of the app, brings lived emotional motivation to the center and requests culturally adaptable initial presentations, including short social reels leading into the relevant app experience.</w:t>
      </w:r>
    </w:p>
    <w:p>
      <w:r>
        <w:t>A1. Alan’s current clarification: the app is mobile because Jake wants it to be used from a phone. This establishes phone use, while native versus web and operating system remain open.</w:t>
      </w:r>
    </w:p>
    <w:p>
      <w:hyperlink r:id="rId10">
        <w:r>
          <w:rPr>
            <w:color w:val="125A7D"/>
          </w:rPr>
          <w:t>Jake Davis shared project conversation</w:t>
        </w:r>
      </w:hyperlink>
    </w:p>
    <w:p>
      <w:r>
        <w:t>Source link requires access to the shared project. The source prompts above identify the relevant turns; the requirements do not treat the assistant’s historical responses as approved implementation decisions.</w:t>
      </w:r>
    </w:p>
    <w:p>
      <w:pPr>
        <w:pStyle w:val="Heading1"/>
        <w:pageBreakBefore/>
      </w:pPr>
      <w:r>
        <w:t>14 Comparable mobile products</w:t>
      </w:r>
    </w:p>
    <w:p>
      <w:r>
        <w:t>Emotional check-ins, AI journaling and contemplative practice already exist in phone apps. The product should test the value of connecting an episode, a self-described motivation, a possible response and a later outcome through culturally authored entry experiences. This is a differentiation hypothesis, not a claim of novelty or efficacy.</w:t>
      </w:r>
    </w:p>
    <w:p>
      <w:pPr>
        <w:pStyle w:val="Heading2"/>
      </w:pPr>
      <w:r>
        <w:t>Reflection and practice benchmarks</w:t>
      </w:r>
    </w:p>
    <w:p>
      <w:r>
        <w:t>How We Feel combines emotion check-ins, pattern review, short strategies and optional AI reflection. It is a useful benchmark for brief, approachable phone interactions. Its no-account local mode and optional account/AI modes have different data flows; do not copy an unqualified claim that all data stays on the device.</w:t>
      </w:r>
    </w:p>
    <w:p>
      <w:hyperlink r:id="rId11">
        <w:r>
          <w:rPr>
            <w:color w:val="125A7D"/>
          </w:rPr>
          <w:t>How We Feel App Store listing</w:t>
        </w:r>
      </w:hyperlink>
    </w:p>
    <w:p>
      <w:hyperlink r:id="rId12">
        <w:r>
          <w:rPr>
            <w:color w:val="125A7D"/>
          </w:rPr>
          <w:t>How We Feel Google Play listing</w:t>
        </w:r>
      </w:hyperlink>
    </w:p>
    <w:p>
      <w:hyperlink r:id="rId13">
        <w:r>
          <w:rPr>
            <w:color w:val="125A7D"/>
          </w:rPr>
          <w:t>How We Feel privacy policy</w:t>
        </w:r>
      </w:hyperlink>
    </w:p>
    <w:p>
      <w:r>
        <w:t>Rosebud offers AI-guided text and voice journaling, recurring-pattern insights and goals. Use it to benchmark adaptive questioning and continuity. Encryption and no-sale claims do not establish local-only processing or end-to-end encryption.</w:t>
      </w:r>
    </w:p>
    <w:p>
      <w:hyperlink r:id="rId14">
        <w:r>
          <w:rPr>
            <w:color w:val="125A7D"/>
          </w:rPr>
          <w:t>Rosebud official product site</w:t>
        </w:r>
      </w:hyperlink>
    </w:p>
    <w:p>
      <w:r>
        <w:t>Waking Up centers authored contemplative practice, theory and first-person awareness. It is relevant to the purpose and quality of exercises, rather than evidence for an interactive AI inquiry flow.</w:t>
      </w:r>
    </w:p>
    <w:p>
      <w:hyperlink r:id="rId15">
        <w:r>
          <w:rPr>
            <w:color w:val="125A7D"/>
          </w:rPr>
          <w:t>Waking Up official product site</w:t>
        </w:r>
      </w:hyperlink>
    </w:p>
    <w:p>
      <w:r>
        <w:t>The Work App is a structured inquiry precedent using a particular situation, questions and turnarounds. Its method is relevant to the interaction design, but this app should not silently adopt its assumptions or require users to reframe justified anger or harm.</w:t>
      </w:r>
    </w:p>
    <w:p>
      <w:hyperlink r:id="rId16">
        <w:r>
          <w:rPr>
            <w:color w:val="125A7D"/>
          </w:rPr>
          <w:t>The Work App listing and method context</w:t>
        </w:r>
      </w:hyperlink>
    </w:p>
    <w:p>
      <w:r>
        <w:t>Plum Village is useful for separate interface/content language choices, downloadable practice and web access to shared content. These capabilities do not establish the exact reel-to-exercise funnel proposed here.</w:t>
      </w:r>
    </w:p>
    <w:p>
      <w:hyperlink r:id="rId17">
        <w:r>
          <w:rPr>
            <w:color w:val="125A7D"/>
          </w:rPr>
          <w:t>Plum Village official app FAQ</w:t>
        </w:r>
      </w:hyperlink>
    </w:p>
    <w:p>
      <w:pPr>
        <w:pStyle w:val="Heading2"/>
      </w:pPr>
      <w:r>
        <w:t>Implications for this model</w:t>
      </w:r>
    </w:p>
    <w:p>
      <w:r>
        <w:t>Test the episode-to-motivation-to-response-to-review cycle against ordinary journaling. Distinguish interface translation, prompt translation, locally authored examples, cultural review and AI output language. Test the real mobile handoff before describing it as seamless. No reviewed source establishes that the combined proposal is novel or effective.</w:t>
      </w:r>
    </w:p>
    <w:p>
      <w:r>
        <w:t>Selected official sources reviewed on 21 October 2026. This is a desk review, not hands-on product testing; store and privacy statements are vendor declarations. Prices and completeness of platform availability are deliberately outside this comparison.</w:t>
      </w:r>
    </w:p>
    <w:sectPr w:rsidR="00FC693F" w:rsidRPr="0006063C" w:rsidSect="00034616">
      <w:footerReference w:type="default" r:id="rId9"/>
      <w:pgSz w:w="12240" w:h="15840"/>
      <w:pgMar w:top="1008" w:right="1080" w:bottom="936"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Reflecting Minds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20" w:line="252" w:lineRule="auto"/>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100" w:line="252"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52" w:lineRule="auto"/>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52" w:lineRule="auto"/>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2" w:lineRule="auto"/>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2"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2" w:lineRule="auto"/>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chatgpt.com/g/g-p-6ad29bd18e148191a9d279048ee379f2/shared/c/6ad567b9-652c-83ea-ae7e-c846e2b20a7c?owner_user_id=user-tRlXyigp8Fr2LH5CvKcujllA" TargetMode="External"/><Relationship Id="rId11" Type="http://schemas.openxmlformats.org/officeDocument/2006/relationships/hyperlink" Target="https://apps.apple.com/us/app/how-we-feel/id1562706384" TargetMode="External"/><Relationship Id="rId12" Type="http://schemas.openxmlformats.org/officeDocument/2006/relationships/hyperlink" Target="https://play.google.com/store/apps/details?id=org.howwefeel.moodmeter" TargetMode="External"/><Relationship Id="rId13" Type="http://schemas.openxmlformats.org/officeDocument/2006/relationships/hyperlink" Target="https://howwefeel.org/privacy" TargetMode="External"/><Relationship Id="rId14" Type="http://schemas.openxmlformats.org/officeDocument/2006/relationships/hyperlink" Target="https://www.rosebud.app/" TargetMode="External"/><Relationship Id="rId15" Type="http://schemas.openxmlformats.org/officeDocument/2006/relationships/hyperlink" Target="https://www.wakingup.com/" TargetMode="External"/><Relationship Id="rId16" Type="http://schemas.openxmlformats.org/officeDocument/2006/relationships/hyperlink" Target="https://apps.apple.com/us/app/the-work-app/id478610069" TargetMode="External"/><Relationship Id="rId17" Type="http://schemas.openxmlformats.org/officeDocument/2006/relationships/hyperlink" Target="https://plumvillage.app/fa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Reflecting Minds Mobile Software Specification</dc:title>
  <dc:subject>Proposed mobile MVP requirements and technical design</dc:subject>
  <dc:creator/>
  <cp:keywords>Reflecting Minds, mobile, software specification, Global Attentiveness</cp:keywords>
  <dc:description>generated by python-docx</dc:description>
  <cp:lastModifiedBy/>
  <cp:revision>1</cp:revision>
  <dcterms:created xsi:type="dcterms:W3CDTF">2013-12-23T23:15:00Z</dcterms:created>
  <dcterms:modified xsi:type="dcterms:W3CDTF">2013-12-23T23:15:00Z</dcterms:modified>
  <cp:category/>
</cp:coreProperties>
</file>