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Reflecting Minds</w:t>
      </w:r>
    </w:p>
    <w:p>
      <w:pPr>
        <w:spacing w:after="60"/>
      </w:pPr>
      <w:r>
        <w:rPr>
          <w:i/>
          <w:iCs/>
        </w:rPr>
        <w:t xml:space="preserve">Mobile Software Specification — Draft revision incorporating recorded participant direction</w:t>
      </w:r>
    </w:p>
    <w:p>
      <w:pPr>
        <w:spacing w:after="40"/>
      </w:pPr>
      <w:r>
        <w:rPr>
          <w:b/>
          <w:bCs/>
        </w:rPr>
        <w:t xml:space="preserve">Version 0.4 DRAFT • 26 October 2026</w:t>
      </w:r>
    </w:p>
    <w:p>
      <w:pPr>
        <w:spacing w:after="160"/>
      </w:pPr>
      <w:r>
        <w:t xml:space="preserve">Proposed revision to v0.2, superseding the v0.3 draft of 23 October. This draft is NOT the governing specification. Version 0.2 of 21 October 2026 remains governing until a revision is reviewed and adopted.</w:t>
      </w:r>
    </w:p>
    <w:p>
      <w:pPr>
        <w:pBdr>
          <w:bottom w:val="single" w:color="B9BEB8" w:sz="6"/>
        </w:pBdr>
        <w:spacing w:after="160"/>
      </w:pPr>
    </w:p>
    <w:p>
      <w:pPr>
        <w:pStyle w:val="Heading2"/>
        <w:spacing w:after="120" w:before="240"/>
      </w:pPr>
      <w:r>
        <w:t xml:space="preserve">Authorship and review status</w:t>
      </w:r>
    </w:p>
    <w:p>
      <w:pPr>
        <w:spacing w:after="140"/>
      </w:pPr>
      <w:r>
        <w:t xml:space="preserve">Drafted by Claude at the request of the project coordinator. v0.3 was drafted from a review of v0.2 and the consolidated bundle; v0.4 adds the direction Jake H. Davis recorded in #all-reflecting-minds on 23 October 2026 in answer to three questions put to him. It has had no review.</w:t>
      </w:r>
    </w:p>
    <w:p>
      <w:pPr>
        <w:spacing w:after="140"/>
      </w:pPr>
      <w:r>
        <w:rPr>
          <w:b/>
          <w:bCs/>
        </w:rPr>
        <w:t xml:space="preserve">Two kinds of content are now in this draft and are kept distinct. </w:t>
      </w:r>
      <w:r>
        <w:rPr>
          <w:b w:val="false"/>
          <w:bCs w:val="false"/>
        </w:rPr>
        <w:t xml:space="preserve">Direction a named participant gave is recorded as theirs, with its date and source. Requirements the drafter wrote to carry that direction, or to close gaps found in review, are the drafter's and carry no more authority than any other unreviewed proposal.</w:t>
      </w:r>
    </w:p>
    <w:p>
      <w:pPr>
        <w:spacing w:after="140"/>
      </w:pPr>
      <w:r>
        <w:rPr>
          <w:b w:val="false"/>
          <w:bCs w:val="false"/>
        </w:rPr>
        <w:t xml:space="preserve">FR14 requires content review by an authorized reviewer distinct from the author where practical. </w:t>
      </w:r>
      <w:r>
        <w:rPr>
          <w:b/>
          <w:bCs/>
        </w:rPr>
        <w:t xml:space="preserve">This draft has a single author and no reviewer, and must not govern anything until a person distinct from its author has reviewed it.</w:t>
      </w:r>
    </w:p>
    <w:p>
      <w:pPr>
        <w:spacing w:after="140"/>
      </w:pPr>
      <w:r>
        <w:t xml:space="preserve">This revision takes no new product decisions. Where v0.2 left a matter open, this draft leaves it open and adds a requirement that it be decided and recorded before a named gate. Where the review that produced this draft found a gap with an unambiguous fix, the fix is made and marked.</w:t>
      </w:r>
    </w:p>
    <w:p>
      <w:pPr>
        <w:pStyle w:val="Heading1"/>
        <w:spacing w:after="160" w:before="320"/>
      </w:pPr>
      <w:r>
        <w:t xml:space="preserve">Change summary</w:t>
      </w:r>
    </w:p>
    <w:p>
      <w:pPr>
        <w:spacing w:after="140"/>
      </w:pPr>
      <w:r>
        <w:t xml:space="preserve">Relative to v0.3. Everything v0.3 added is carried forward unless named here.</w:t>
      </w:r>
    </w:p>
    <w:p>
      <w:pPr>
        <w:pStyle w:val="ListParagraph"/>
        <w:numPr>
          <w:ilvl w:val="0"/>
          <w:numId w:val="2"/>
        </w:numPr>
        <w:spacing w:after="80"/>
      </w:pPr>
      <w:r>
        <w:t xml:space="preserve">Records the first entries in the decision register required by FR17: the initial scenario subset, the taxonomy decision on the three non-situational doors, and agreement to cost one complete scenario before selecting further work. Decider Jake H. Davis, 23 October 2026.</w:t>
      </w:r>
    </w:p>
    <w:p>
      <w:pPr>
        <w:pStyle w:val="ListParagraph"/>
        <w:numPr>
          <w:ilvl w:val="0"/>
          <w:numId w:val="2"/>
        </w:numPr>
        <w:spacing w:after="80"/>
      </w:pPr>
      <w:r>
        <w:t xml:space="preserve">Confirms attribution of the audience framing to Jake H. Davis and records his explicit instruction that it remain a suggestion, not direction. Adds its source.</w:t>
      </w:r>
    </w:p>
    <w:p>
      <w:pPr>
        <w:pStyle w:val="ListParagraph"/>
        <w:numPr>
          <w:ilvl w:val="0"/>
          <w:numId w:val="2"/>
        </w:numPr>
        <w:spacing w:after="80"/>
      </w:pPr>
      <w:r>
        <w:t xml:space="preserve">Records a stated product direction: scenarios and doors should set up for future group work rather than centre on individual exploration. This does not change beta scope.</w:t>
      </w:r>
    </w:p>
    <w:p>
      <w:pPr>
        <w:pStyle w:val="ListParagraph"/>
        <w:numPr>
          <w:ilvl w:val="0"/>
          <w:numId w:val="2"/>
        </w:numPr>
        <w:spacing w:after="80"/>
      </w:pPr>
      <w:r>
        <w:t xml:space="preserve">Strengthens FR18's rationale in light of that direction. The decision remains open; the option of permanently unassociable records is now less likely to be correct and the decision is more urgent.</w:t>
      </w:r>
    </w:p>
    <w:p>
      <w:pPr>
        <w:pStyle w:val="ListParagraph"/>
        <w:numPr>
          <w:ilvl w:val="0"/>
          <w:numId w:val="2"/>
        </w:numPr>
        <w:spacing w:after="80"/>
      </w:pPr>
      <w:r>
        <w:t xml:space="preserve">Adds FR20: sufficient situational context shall precede the attention practice, and the placement of Notice within each scenario is a recorded content decision. From a reviewer finding that the attentiveness layer arrives before there is anything to notice.</w:t>
      </w:r>
    </w:p>
    <w:p>
      <w:pPr>
        <w:pStyle w:val="ListParagraph"/>
        <w:numPr>
          <w:ilvl w:val="0"/>
          <w:numId w:val="2"/>
        </w:numPr>
        <w:spacing w:after="80"/>
      </w:pPr>
      <w:r>
        <w:t xml:space="preserve">Records the stated content roadmap for later versions — video and audio per scenario, realistic images in varied presentation styles — as input to the media precedence decision. Authorizes nothing.</w:t>
      </w:r>
    </w:p>
    <w:p>
      <w:pPr>
        <w:pStyle w:val="ListParagraph"/>
        <w:numPr>
          <w:ilvl w:val="0"/>
          <w:numId w:val="2"/>
        </w:numPr>
        <w:spacing w:after="80"/>
      </w:pPr>
      <w:r>
        <w:t xml:space="preserve">Marks the draft scenario for the divided-group door for rewriting, with the recorded reason.</w:t>
      </w:r>
    </w:p>
    <w:p>
      <w:pPr>
        <w:pStyle w:val="ListParagraph"/>
        <w:numPr>
          <w:ilvl w:val="0"/>
          <w:numId w:val="2"/>
        </w:numPr>
        <w:spacing w:after="80"/>
      </w:pPr>
      <w:r>
        <w:t xml:space="preserve">Updates section 8 gates and section 9 to reflect decision 1 being partly closed.</w:t>
      </w:r>
    </w:p>
    <w:p>
      <w:pPr>
        <w:pStyle w:val="Heading1"/>
        <w:spacing w:after="160" w:before="320"/>
      </w:pPr>
      <w:r>
        <w:t xml:space="preserve">1. Status, provenance and scope</w:t>
      </w:r>
    </w:p>
    <w:p>
      <w:pPr>
        <w:spacing w:after="140"/>
      </w:pPr>
      <w:r>
        <w:t xml:space="preserve">This document separates agreed product direction from proposed technical implementation. A requirement marked SHALL is a target for the proposed beta build, not a claim that it already exists. The conceptual model is the governing reference for how hypotheses, strategies, content and future shared inquiry should evolve.</w:t>
      </w:r>
    </w:p>
    <w:p>
      <w:pPr>
        <w:pStyle w:val="Heading2"/>
        <w:spacing w:after="120" w:before="240"/>
      </w:pPr>
      <w:r>
        <w:t xml:space="preserve">Agreed beta boundaries (unchanged from v0.2)</w:t>
      </w:r>
    </w:p>
    <w:p>
      <w:pPr>
        <w:pStyle w:val="ListParagraph"/>
        <w:numPr>
          <w:ilvl w:val="0"/>
          <w:numId w:val="2"/>
        </w:numPr>
        <w:spacing w:after="80"/>
      </w:pPr>
      <w:r>
        <w:t xml:space="preserve">Small invited beta; no formal research pilot.</w:t>
      </w:r>
    </w:p>
    <w:p>
      <w:pPr>
        <w:pStyle w:val="ListParagraph"/>
        <w:numPr>
          <w:ilvl w:val="0"/>
          <w:numId w:val="2"/>
        </w:numPr>
        <w:spacing w:after="80"/>
      </w:pPr>
      <w:r>
        <w:t xml:space="preserve">Mobile-first progressive web app, optionally installable; phones are primary, with basic tablet and desktop compatibility.</w:t>
      </w:r>
    </w:p>
    <w:p>
      <w:pPr>
        <w:pStyle w:val="ListParagraph"/>
        <w:numPr>
          <w:ilvl w:val="0"/>
          <w:numId w:val="2"/>
        </w:numPr>
        <w:spacing w:after="80"/>
      </w:pPr>
      <w:r>
        <w:t xml:space="preserve">No account required.</w:t>
      </w:r>
    </w:p>
    <w:p>
      <w:pPr>
        <w:pStyle w:val="ListParagraph"/>
        <w:numPr>
          <w:ilvl w:val="0"/>
          <w:numId w:val="2"/>
        </w:numPr>
        <w:spacing w:after="80"/>
      </w:pPr>
      <w:r>
        <w:t xml:space="preserve">Pre-produced audiovisual scenarios; hybrid live action and generated imagery as the creative direction; no live AI facilitation.</w:t>
      </w:r>
    </w:p>
    <w:p>
      <w:pPr>
        <w:pStyle w:val="ListParagraph"/>
        <w:numPr>
          <w:ilvl w:val="0"/>
          <w:numId w:val="2"/>
        </w:numPr>
        <w:spacing w:after="80"/>
      </w:pPr>
      <w:r>
        <w:t xml:space="preserve">No functioning group features or in-app feedback prompts.</w:t>
      </w:r>
    </w:p>
    <w:p>
      <w:pPr>
        <w:pStyle w:val="ListParagraph"/>
        <w:numPr>
          <w:ilvl w:val="0"/>
          <w:numId w:val="2"/>
        </w:numPr>
        <w:spacing w:after="80"/>
      </w:pPr>
      <w:r>
        <w:t xml:space="preserve">Local-first saving, only when the user explicitly chooses to save; user-controlled deletion.</w:t>
      </w:r>
    </w:p>
    <w:p>
      <w:pPr>
        <w:pStyle w:val="ListParagraph"/>
        <w:numPr>
          <w:ilvl w:val="0"/>
          <w:numId w:val="2"/>
        </w:numPr>
        <w:spacing w:after="80"/>
      </w:pPr>
      <w:r>
        <w:t xml:space="preserve">Essential operational telemetry only, with no reflection text or detailed personal activity tracking.</w:t>
      </w:r>
    </w:p>
    <w:p>
      <w:pPr>
        <w:pStyle w:val="Heading2"/>
        <w:spacing w:after="120" w:before="240"/>
      </w:pPr>
      <w:r>
        <w:t xml:space="preserve">Not in beta (unchanged from v0.2)</w:t>
      </w:r>
    </w:p>
    <w:p>
      <w:pPr>
        <w:pStyle w:val="ListParagraph"/>
        <w:numPr>
          <w:ilvl w:val="0"/>
          <w:numId w:val="2"/>
        </w:numPr>
        <w:spacing w:after="80"/>
      </w:pPr>
      <w:r>
        <w:t xml:space="preserve">Live AI assistance, generated AI summaries, AI-based classifications, or AI dialogue.</w:t>
      </w:r>
    </w:p>
    <w:p>
      <w:pPr>
        <w:pStyle w:val="ListParagraph"/>
        <w:numPr>
          <w:ilvl w:val="0"/>
          <w:numId w:val="2"/>
        </w:numPr>
        <w:spacing w:after="80"/>
      </w:pPr>
      <w:r>
        <w:t xml:space="preserve">Group workspaces, teams, user-to-user invitations, shared journals, public sharing, or cross-group facilitation.</w:t>
      </w:r>
    </w:p>
    <w:p>
      <w:pPr>
        <w:pStyle w:val="ListParagraph"/>
        <w:numPr>
          <w:ilvl w:val="0"/>
          <w:numId w:val="2"/>
        </w:numPr>
        <w:spacing w:after="80"/>
      </w:pPr>
      <w:r>
        <w:t xml:space="preserve">Formal research enrollment, in-app surveys, ratings, satisfaction prompts, or requests to explain what was learned.</w:t>
      </w:r>
    </w:p>
    <w:p>
      <w:pPr>
        <w:pStyle w:val="ListParagraph"/>
        <w:numPr>
          <w:ilvl w:val="0"/>
          <w:numId w:val="2"/>
        </w:numPr>
        <w:spacing w:after="80"/>
      </w:pPr>
      <w:r>
        <w:t xml:space="preserve">Any claim that using the app improves Global Attentiveness or produces a beneficial personal or social outcome.</w:t>
      </w:r>
    </w:p>
    <w:p>
      <w:pPr>
        <w:pStyle w:val="Heading2"/>
        <w:spacing w:after="120" w:before="240"/>
      </w:pPr>
      <w:r>
        <w:t xml:space="preserve">Audience (attribution confirmed; status: suggestion)</w:t>
      </w:r>
    </w:p>
    <w:p>
      <w:pPr>
        <w:spacing w:after="140"/>
      </w:pPr>
      <w:r>
        <w:t xml:space="preserve">The audience is a state rather than a group: a person currently carrying emotional friction, internally or interpersonally. The app does not need to create the motivation to reduce that friction; it needs to offer a way in that does not require the person to admit fault, commit to change, or disclose anything.</w:t>
      </w:r>
    </w:p>
    <w:p>
      <w:pPr>
        <w:spacing w:after="140"/>
      </w:pPr>
      <w:r>
        <w:t xml:space="preserve">This definition is consistent with FR02, which forbids inferring identity, and with the requirement that entry doors describe content rather than people. It defines no demographic, and no part of the product may treat it as one.</w:t>
      </w:r>
    </w:p>
    <w:p>
      <w:pPr>
        <w:spacing w:after="140"/>
      </w:pPr>
      <w:r>
        <w:rPr>
          <w:b/>
          <w:bCs/>
        </w:rPr>
        <w:t xml:space="preserve">Provenance. </w:t>
      </w:r>
      <w:r>
        <w:rPr>
          <w:b w:val="false"/>
          <w:bCs w:val="false"/>
        </w:rPr>
        <w:t xml:space="preserve">The framing is Jake H. Davis's, confirmed by him on 23 October 2026, grounded in his reading of dukkha as un-ease (Davis 2023, Theravāda Buddhist philosophy, Routledge Encyclopedia of Philosophy; held in the project under 07_Source_Papers). He asked that it be kept as a suggestion rather than direction, being open to better framings. That status is his to set and is preserved here: this section is a working definition the project is using, not a decision it has taken.</w:t>
      </w:r>
    </w:p>
    <w:p>
      <w:pPr>
        <w:spacing w:after="140"/>
      </w:pPr>
      <w:r>
        <w:rPr>
          <w:b/>
          <w:bCs/>
        </w:rPr>
        <w:t xml:space="preserve">Constraint. </w:t>
      </w:r>
      <w:r>
        <w:rPr>
          <w:b w:val="false"/>
          <w:bCs w:val="false"/>
        </w:rPr>
        <w:t xml:space="preserve">The friction framing is an internal design principle and may not appear in product, marketing or error copy. A promise to reduce emotional friction is an efficacy claim and falls under AT17. Its source is a tradition's technical term, and grounding a design concept in that source licenses no religious framing in the experience (section 6) and no outcome claim resting on the tradition's authority. The relationship between friction reduction and Global Attentiveness remains undefined and belongs in the hypothesis registry.</w:t>
      </w:r>
    </w:p>
    <w:p>
      <w:pPr>
        <w:pStyle w:val="Heading2"/>
        <w:spacing w:after="120" w:before="240"/>
      </w:pPr>
      <w:r>
        <w:t xml:space="preserve">Stated product direction (new in v0.4)</w:t>
      </w:r>
    </w:p>
    <w:p>
      <w:pPr>
        <w:spacing w:after="140"/>
      </w:pPr>
      <w:r>
        <w:t xml:space="preserve">Recorded 23 October 2026 from Jake H. Davis, in his words: choose doors and scenarios that more clearly set up for group work in the future, and do not focus so much on individual personal exploration. The general idea is that groups can discover and choose strategies that, in cases of conflict, lead to less internal and interpersonal friction.</w:t>
      </w:r>
    </w:p>
    <w:p>
      <w:pPr>
        <w:spacing w:after="140"/>
      </w:pPr>
      <w:r>
        <w:t xml:space="preserve">This is direction on selection and emphasis. It does not change the agreed beta boundaries: no functioning group features, no invitations, no shared journals. It changes which scenarios are chosen, how they are authored, and the urgency of FR18.</w:t>
      </w:r>
    </w:p>
    <w:p>
      <w:pPr>
        <w:pStyle w:val="Heading2"/>
        <w:spacing w:after="120" w:before="240"/>
      </w:pPr>
      <w:r>
        <w:t xml:space="preserve">What this revision does not do</w:t>
      </w:r>
    </w:p>
    <w:p>
      <w:pPr>
        <w:spacing w:after="140"/>
      </w:pPr>
      <w:r>
        <w:t xml:space="preserve">It does not authorize implementation, select a framework, storage technology, offline policy or telemetry configuration, name any accountable owner, approve any content or scenario, or claim the beta is ready. Of the section 9 items it records one partial resolution (decision 1, the subset) taken by a named participant; it resolves nothing itself.</w:t>
      </w:r>
    </w:p>
    <w:p>
      <w:pPr>
        <w:pStyle w:val="Heading1"/>
        <w:spacing w:after="160" w:before="320"/>
      </w:pPr>
      <w:r>
        <w:t xml:space="preserve">2. Product model and navigation</w:t>
      </w:r>
    </w:p>
    <w:p>
      <w:pPr>
        <w:spacing w:after="140"/>
      </w:pPr>
      <w:r>
        <w:t xml:space="preserve">The app supports a flexible seven-stage cycle: Entry, Notice, Motivation, Compare, Discern, Respond, Review. It is not a mandatory linear sequence. Users may skip optional stages, go back, pause, disagree, stop, or leave. Unchanged from v0.2.</w:t>
      </w:r>
    </w:p>
    <w:p>
      <w:pPr>
        <w:pStyle w:val="Heading2"/>
        <w:spacing w:after="120" w:before="240"/>
      </w:pPr>
      <w:r>
        <w:t xml:space="preserve">Entry model (amended)</w:t>
      </w:r>
    </w:p>
    <w:p>
      <w:pPr>
        <w:spacing w:after="140"/>
      </w:pPr>
      <w:r>
        <w:t xml:space="preserve">Design for approximately nine entry doors. The categories below are a provisional, versioned content taxonomy, not labels assigned to users:</w:t>
      </w:r>
    </w:p>
    <w:p>
      <w:pPr>
        <w:pStyle w:val="ListParagraph"/>
        <w:numPr>
          <w:ilvl w:val="0"/>
          <w:numId w:val="2"/>
        </w:numPr>
        <w:spacing w:after="80"/>
      </w:pPr>
      <w:r>
        <w:t xml:space="preserve">Unresolved personal tension</w:t>
      </w:r>
    </w:p>
    <w:p>
      <w:pPr>
        <w:pStyle w:val="ListParagraph"/>
        <w:numPr>
          <w:ilvl w:val="0"/>
          <w:numId w:val="2"/>
        </w:numPr>
        <w:spacing w:after="80"/>
      </w:pPr>
      <w:r>
        <w:t xml:space="preserve">Seeing things differently</w:t>
      </w:r>
    </w:p>
    <w:p>
      <w:pPr>
        <w:pStyle w:val="ListParagraph"/>
        <w:numPr>
          <w:ilvl w:val="0"/>
          <w:numId w:val="2"/>
        </w:numPr>
        <w:spacing w:after="80"/>
      </w:pPr>
      <w:r>
        <w:t xml:space="preserve">Uncertainty</w:t>
      </w:r>
    </w:p>
    <w:p>
      <w:pPr>
        <w:pStyle w:val="ListParagraph"/>
        <w:numPr>
          <w:ilvl w:val="0"/>
          <w:numId w:val="2"/>
        </w:numPr>
        <w:spacing w:after="80"/>
      </w:pPr>
      <w:r>
        <w:t xml:space="preserve">Divided group</w:t>
      </w:r>
    </w:p>
    <w:p>
      <w:pPr>
        <w:pStyle w:val="ListParagraph"/>
        <w:numPr>
          <w:ilvl w:val="0"/>
          <w:numId w:val="2"/>
        </w:numPr>
        <w:spacing w:after="80"/>
      </w:pPr>
      <w:r>
        <w:t xml:space="preserve">Another person’s perspective</w:t>
      </w:r>
    </w:p>
    <w:p>
      <w:pPr>
        <w:pStyle w:val="ListParagraph"/>
        <w:numPr>
          <w:ilvl w:val="0"/>
          <w:numId w:val="2"/>
        </w:numPr>
        <w:spacing w:after="80"/>
      </w:pPr>
      <w:r>
        <w:t xml:space="preserve">Something seen or heard (post, story, claim)</w:t>
      </w:r>
    </w:p>
    <w:p>
      <w:pPr>
        <w:pStyle w:val="ListParagraph"/>
        <w:numPr>
          <w:ilvl w:val="0"/>
          <w:numId w:val="2"/>
        </w:numPr>
        <w:spacing w:after="80"/>
      </w:pPr>
      <w:r>
        <w:t xml:space="preserve">Values in tension</w:t>
      </w:r>
    </w:p>
    <w:p>
      <w:pPr>
        <w:pStyle w:val="ListParagraph"/>
        <w:numPr>
          <w:ilvl w:val="0"/>
          <w:numId w:val="2"/>
        </w:numPr>
        <w:spacing w:after="80"/>
      </w:pPr>
      <w:r>
        <w:t xml:space="preserve">Self-understanding</w:t>
      </w:r>
    </w:p>
    <w:p>
      <w:pPr>
        <w:pStyle w:val="ListParagraph"/>
        <w:numPr>
          <w:ilvl w:val="0"/>
          <w:numId w:val="2"/>
        </w:numPr>
        <w:spacing w:after="80"/>
      </w:pPr>
      <w:r>
        <w:t xml:space="preserve">Just curious</w:t>
      </w:r>
    </w:p>
    <w:p>
      <w:pPr>
        <w:spacing w:after="140"/>
      </w:pPr>
      <w:r>
        <w:rPr>
          <w:b/>
          <w:bCs/>
        </w:rPr>
        <w:t xml:space="preserve">Taxonomy decision (recorded, v0.4). </w:t>
      </w:r>
      <w:r>
        <w:rPr>
          <w:b w:val="false"/>
          <w:bCs w:val="false"/>
        </w:rPr>
        <w:t xml:space="preserve">v0.3 required the taxonomy review to decide how to treat the three non-situational doors. Decided by Jake H. Davis, 23 October 2026: the two dispositions — Self-understanding and Just curious — are deferred from the first taxonomy version. Divided group is retained and reworked as a scenario, with the explicit instruction that it carry real conflict between needs rather than mere disagreement. The draft scenario for that door is withdrawn for rewriting on that ground.</w:t>
      </w:r>
    </w:p>
    <w:p>
      <w:pPr>
        <w:spacing w:after="140"/>
      </w:pPr>
      <w:r>
        <w:rPr>
          <w:b/>
          <w:bCs/>
        </w:rPr>
        <w:t xml:space="preserve">Initial subset (recorded, v0.4). </w:t>
      </w:r>
      <w:r>
        <w:rPr>
          <w:b w:val="false"/>
          <w:bCs w:val="false"/>
        </w:rPr>
        <w:t xml:space="preserve">Decided by Jake H. Davis, 23 October 2026: the first three doors are Seeing things differently, Divided group, and Values in tension. This closes the subset part of open decision 1. The production schedule remains open and follows the one-scenario costing in section 6, which he also agreed to.</w:t>
      </w:r>
    </w:p>
    <w:p>
      <w:pPr>
        <w:spacing w:after="140"/>
      </w:pPr>
      <w:r>
        <w:rPr>
          <w:b/>
          <w:bCs/>
        </w:rPr>
        <w:t xml:space="preserve">Selection criterion (new in v0.4). </w:t>
      </w:r>
      <w:r>
        <w:rPr>
          <w:b w:val="false"/>
          <w:bCs w:val="false"/>
        </w:rPr>
        <w:t xml:space="preserve">Scenario and door selection shall weigh how well a scenario sets up for future group work, per the stated direction in section 1. A scenario that reads only as private introspection is a weaker candidate than one whose structure would survive being worked on by several people with competing needs. This is a criterion for choosing and authoring, not a change to beta scope.</w:t>
      </w:r>
    </w:p>
    <w:p>
      <w:pPr>
        <w:spacing w:after="140"/>
      </w:pPr>
      <w:r>
        <w:rPr>
          <w:b/>
          <w:bCs/>
        </w:rPr>
        <w:t xml:space="preserve">Amendment — entry route precedence. </w:t>
      </w:r>
      <w:r>
        <w:rPr>
          <w:b w:val="false"/>
          <w:bCs w:val="false"/>
        </w:rPr>
        <w:t xml:space="preserve">The browse list and button route is the reference implementation for entry and shall be built and tested first. The swipeable visual reel is an enhancement over it. Swipe-first navigation is the least accessible available pattern, and treating the reel as primary places the accessibility obligation on the hardest route. "Surprise me" may select an experience only after an explicit user action, and shall not remove the ability to choose deliberately.</w:t>
      </w:r>
    </w:p>
    <w:p>
      <w:pPr>
        <w:pStyle w:val="Heading1"/>
        <w:spacing w:after="160" w:before="320"/>
      </w:pPr>
      <w:r>
        <w:t xml:space="preserve">3. Core flows</w:t>
      </w:r>
    </w:p>
    <w:p>
      <w:pPr>
        <w:spacing w:after="140"/>
      </w:pPr>
      <w:r>
        <w:t xml:space="preserve">Flows A, B and C are unchanged from v0.2 and are not restated here. Flow A: try an experience. Flow B: examine a disagreement, through an optional worksheet that labels inferred motives as the user’s interpretations. Flow C: return and learn, preserving the original plan separately from later observations and revisions.</w:t>
      </w:r>
    </w:p>
    <w:p>
      <w:pPr>
        <w:spacing w:after="140"/>
      </w:pPr>
      <w:r>
        <w:rPr>
          <w:b/>
          <w:bCs/>
        </w:rPr>
        <w:t xml:space="preserve">Note. </w:t>
      </w:r>
      <w:r>
        <w:rPr>
          <w:b w:val="false"/>
          <w:bCs w:val="false"/>
        </w:rPr>
        <w:t xml:space="preserve">The agency provisions in these flows — refusal without penalty, optional action, "I did not act" as a valid outcome — are the mechanism by which the durable route is made as low-cost as the avoidant one. They are load-bearing, not courtesies, and may not be traded away for completion.</w:t>
      </w:r>
    </w:p>
    <w:p>
      <w:pPr>
        <w:pStyle w:val="Heading1"/>
        <w:spacing w:after="160" w:before="320"/>
      </w:pPr>
      <w:r>
        <w:t xml:space="preserve">4. Functional requirements</w:t>
      </w:r>
    </w:p>
    <w:p>
      <w:pPr>
        <w:spacing w:after="140"/>
      </w:pPr>
      <w:r>
        <w:t xml:space="preserve">FR01 to FR16 are carried forward from v0.2. The table records their status in this revision; amended and new requirements are set out in full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00"/>
        <w:gridCol w:w="2460"/>
      </w:tblGrid>
      <w:tr>
        <w:trPr>
          <w:tblHeader/>
        </w:trPr>
        <w:tc>
          <w:tcPr>
            <w:tcW w:type="dxa" w:w="1200"/>
            <w:shd w:fill="EDEFEC" w:val="clear"/>
            <w:tcMar>
              <w:top w:type="dxa" w:w="90"/>
              <w:left w:type="dxa" w:w="130"/>
              <w:bottom w:type="dxa" w:w="90"/>
              <w:right w:type="dxa" w:w="130"/>
            </w:tcMar>
          </w:tcPr>
          <w:p>
            <w:pPr>
              <w:spacing w:after="40"/>
            </w:pPr>
            <w:r>
              <w:rPr>
                <w:b/>
                <w:bCs/>
                <w:sz w:val="19"/>
                <w:szCs w:val="19"/>
              </w:rPr>
              <w:t xml:space="preserve">Req</w:t>
            </w:r>
          </w:p>
        </w:tc>
        <w:tc>
          <w:tcPr>
            <w:tcW w:type="dxa" w:w="4200"/>
            <w:shd w:fill="EDEFEC" w:val="clear"/>
            <w:tcMar>
              <w:top w:type="dxa" w:w="90"/>
              <w:left w:type="dxa" w:w="130"/>
              <w:bottom w:type="dxa" w:w="90"/>
              <w:right w:type="dxa" w:w="130"/>
            </w:tcMar>
          </w:tcPr>
          <w:p>
            <w:pPr>
              <w:spacing w:after="40"/>
            </w:pPr>
            <w:r>
              <w:rPr>
                <w:b/>
                <w:bCs/>
                <w:sz w:val="19"/>
                <w:szCs w:val="19"/>
              </w:rPr>
              <w:t xml:space="preserve">Subject</w:t>
            </w:r>
          </w:p>
        </w:tc>
        <w:tc>
          <w:tcPr>
            <w:tcW w:type="dxa" w:w="1500"/>
            <w:shd w:fill="EDEFEC" w:val="clear"/>
            <w:tcMar>
              <w:top w:type="dxa" w:w="90"/>
              <w:left w:type="dxa" w:w="130"/>
              <w:bottom w:type="dxa" w:w="90"/>
              <w:right w:type="dxa" w:w="130"/>
            </w:tcMar>
          </w:tcPr>
          <w:p>
            <w:pPr>
              <w:spacing w:after="40"/>
            </w:pPr>
            <w:r>
              <w:rPr>
                <w:b/>
                <w:bCs/>
                <w:sz w:val="19"/>
                <w:szCs w:val="19"/>
              </w:rPr>
              <w:t xml:space="preserve">Status in v0.3</w:t>
            </w:r>
          </w:p>
        </w:tc>
        <w:tc>
          <w:tcPr>
            <w:tcW w:type="dxa" w:w="2460"/>
            <w:shd w:fill="EDEFEC" w:val="clear"/>
            <w:tcMar>
              <w:top w:type="dxa" w:w="90"/>
              <w:left w:type="dxa" w:w="130"/>
              <w:bottom w:type="dxa" w:w="90"/>
              <w:right w:type="dxa" w:w="130"/>
            </w:tcMar>
          </w:tcPr>
          <w:p>
            <w:pPr>
              <w:spacing w:after="40"/>
            </w:pPr>
            <w:r>
              <w:rPr>
                <w:b/>
                <w:bCs/>
                <w:sz w:val="19"/>
                <w:szCs w:val="19"/>
              </w:rPr>
              <w:t xml:space="preserve">Change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FR01</w:t>
            </w:r>
          </w:p>
        </w:tc>
        <w:tc>
          <w:tcPr>
            <w:tcW w:type="dxa" w:w="4200"/>
            <w:tcMar>
              <w:top w:type="dxa" w:w="90"/>
              <w:left w:type="dxa" w:w="130"/>
              <w:bottom w:type="dxa" w:w="90"/>
              <w:right w:type="dxa" w:w="130"/>
            </w:tcMar>
          </w:tcPr>
          <w:p>
            <w:pPr>
              <w:spacing w:after="40"/>
            </w:pPr>
            <w:r>
              <w:rPr>
                <w:b w:val="false"/>
                <w:bCs w:val="false"/>
                <w:sz w:val="19"/>
                <w:szCs w:val="19"/>
              </w:rPr>
              <w:t xml:space="preserve">Mobile entry and routes</w:t>
            </w:r>
          </w:p>
        </w:tc>
        <w:tc>
          <w:tcPr>
            <w:tcW w:type="dxa" w:w="1500"/>
            <w:tcMar>
              <w:top w:type="dxa" w:w="90"/>
              <w:left w:type="dxa" w:w="130"/>
              <w:bottom w:type="dxa" w:w="90"/>
              <w:right w:type="dxa" w:w="130"/>
            </w:tcMar>
          </w:tcPr>
          <w:p>
            <w:pPr>
              <w:spacing w:after="40"/>
            </w:pPr>
            <w:r>
              <w:rPr>
                <w:b w:val="false"/>
                <w:bCs w:val="false"/>
                <w:sz w:val="19"/>
                <w:szCs w:val="19"/>
              </w:rPr>
              <w:t xml:space="preserve">Amended</w:t>
            </w:r>
          </w:p>
        </w:tc>
        <w:tc>
          <w:tcPr>
            <w:tcW w:type="dxa" w:w="2460"/>
            <w:tcMar>
              <w:top w:type="dxa" w:w="90"/>
              <w:left w:type="dxa" w:w="130"/>
              <w:bottom w:type="dxa" w:w="90"/>
              <w:right w:type="dxa" w:w="130"/>
            </w:tcMar>
          </w:tcPr>
          <w:p>
            <w:pPr>
              <w:spacing w:after="40"/>
            </w:pPr>
            <w:r>
              <w:rPr>
                <w:b w:val="false"/>
                <w:bCs w:val="false"/>
                <w:sz w:val="19"/>
                <w:szCs w:val="19"/>
              </w:rPr>
              <w:t xml:space="preserve">List route named as reference implementation</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FR02</w:t>
            </w:r>
          </w:p>
        </w:tc>
        <w:tc>
          <w:tcPr>
            <w:tcW w:type="dxa" w:w="4200"/>
            <w:tcMar>
              <w:top w:type="dxa" w:w="90"/>
              <w:left w:type="dxa" w:w="130"/>
              <w:bottom w:type="dxa" w:w="90"/>
              <w:right w:type="dxa" w:w="130"/>
            </w:tcMar>
          </w:tcPr>
          <w:p>
            <w:pPr>
              <w:spacing w:after="40"/>
            </w:pPr>
            <w:r>
              <w:rPr>
                <w:b w:val="false"/>
                <w:bCs w:val="false"/>
                <w:sz w:val="19"/>
                <w:szCs w:val="19"/>
              </w:rPr>
              <w:t xml:space="preserve">User-chosen presentation</w:t>
            </w:r>
          </w:p>
        </w:tc>
        <w:tc>
          <w:tcPr>
            <w:tcW w:type="dxa" w:w="1500"/>
            <w:tcMar>
              <w:top w:type="dxa" w:w="90"/>
              <w:left w:type="dxa" w:w="130"/>
              <w:bottom w:type="dxa" w:w="90"/>
              <w:right w:type="dxa" w:w="130"/>
            </w:tcMar>
          </w:tcPr>
          <w:p>
            <w:pPr>
              <w:spacing w:after="40"/>
            </w:pPr>
            <w:r>
              <w:rPr>
                <w:b w:val="false"/>
                <w:bCs w:val="false"/>
                <w:sz w:val="19"/>
                <w:szCs w:val="19"/>
              </w:rPr>
              <w:t xml:space="preserve">Amended</w:t>
            </w:r>
          </w:p>
        </w:tc>
        <w:tc>
          <w:tcPr>
            <w:tcW w:type="dxa" w:w="2460"/>
            <w:tcMar>
              <w:top w:type="dxa" w:w="90"/>
              <w:left w:type="dxa" w:w="130"/>
              <w:bottom w:type="dxa" w:w="90"/>
              <w:right w:type="dxa" w:w="130"/>
            </w:tcMar>
          </w:tcPr>
          <w:p>
            <w:pPr>
              <w:spacing w:after="40"/>
            </w:pPr>
            <w:r>
              <w:rPr>
                <w:b w:val="false"/>
                <w:bCs w:val="false"/>
                <w:sz w:val="19"/>
                <w:szCs w:val="19"/>
              </w:rPr>
              <w:t xml:space="preserve">Taxonomy review must address non-situational doors</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FR03</w:t>
            </w:r>
          </w:p>
        </w:tc>
        <w:tc>
          <w:tcPr>
            <w:tcW w:type="dxa" w:w="4200"/>
            <w:tcMar>
              <w:top w:type="dxa" w:w="90"/>
              <w:left w:type="dxa" w:w="130"/>
              <w:bottom w:type="dxa" w:w="90"/>
              <w:right w:type="dxa" w:w="130"/>
            </w:tcMar>
          </w:tcPr>
          <w:p>
            <w:pPr>
              <w:spacing w:after="40"/>
            </w:pPr>
            <w:r>
              <w:rPr>
                <w:b w:val="false"/>
                <w:bCs w:val="false"/>
                <w:sz w:val="19"/>
                <w:szCs w:val="19"/>
              </w:rPr>
              <w:t xml:space="preserve">Explain control and storage</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FR04</w:t>
            </w:r>
          </w:p>
        </w:tc>
        <w:tc>
          <w:tcPr>
            <w:tcW w:type="dxa" w:w="4200"/>
            <w:tcMar>
              <w:top w:type="dxa" w:w="90"/>
              <w:left w:type="dxa" w:w="130"/>
              <w:bottom w:type="dxa" w:w="90"/>
              <w:right w:type="dxa" w:w="130"/>
            </w:tcMar>
          </w:tcPr>
          <w:p>
            <w:pPr>
              <w:spacing w:after="40"/>
            </w:pPr>
            <w:r>
              <w:rPr>
                <w:b w:val="false"/>
                <w:bCs w:val="false"/>
                <w:sz w:val="19"/>
                <w:szCs w:val="19"/>
              </w:rPr>
              <w:t xml:space="preserve">Attention practice</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FR05</w:t>
            </w:r>
          </w:p>
        </w:tc>
        <w:tc>
          <w:tcPr>
            <w:tcW w:type="dxa" w:w="4200"/>
            <w:tcMar>
              <w:top w:type="dxa" w:w="90"/>
              <w:left w:type="dxa" w:w="130"/>
              <w:bottom w:type="dxa" w:w="90"/>
              <w:right w:type="dxa" w:w="130"/>
            </w:tcMar>
          </w:tcPr>
          <w:p>
            <w:pPr>
              <w:spacing w:after="40"/>
            </w:pPr>
            <w:r>
              <w:rPr>
                <w:b w:val="false"/>
                <w:bCs w:val="false"/>
                <w:sz w:val="19"/>
                <w:szCs w:val="19"/>
              </w:rPr>
              <w:t xml:space="preserve">Describe motivation</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FR06</w:t>
            </w:r>
          </w:p>
        </w:tc>
        <w:tc>
          <w:tcPr>
            <w:tcW w:type="dxa" w:w="4200"/>
            <w:tcMar>
              <w:top w:type="dxa" w:w="90"/>
              <w:left w:type="dxa" w:w="130"/>
              <w:bottom w:type="dxa" w:w="90"/>
              <w:right w:type="dxa" w:w="130"/>
            </w:tcMar>
          </w:tcPr>
          <w:p>
            <w:pPr>
              <w:spacing w:after="40"/>
            </w:pPr>
            <w:r>
              <w:rPr>
                <w:b w:val="false"/>
                <w:bCs w:val="false"/>
                <w:sz w:val="19"/>
                <w:szCs w:val="19"/>
              </w:rPr>
              <w:t xml:space="preserve">Compare without ranking</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FR07</w:t>
            </w:r>
          </w:p>
        </w:tc>
        <w:tc>
          <w:tcPr>
            <w:tcW w:type="dxa" w:w="4200"/>
            <w:tcMar>
              <w:top w:type="dxa" w:w="90"/>
              <w:left w:type="dxa" w:w="130"/>
              <w:bottom w:type="dxa" w:w="90"/>
              <w:right w:type="dxa" w:w="130"/>
            </w:tcMar>
          </w:tcPr>
          <w:p>
            <w:pPr>
              <w:spacing w:after="40"/>
            </w:pPr>
            <w:r>
              <w:rPr>
                <w:b w:val="false"/>
                <w:bCs w:val="false"/>
                <w:sz w:val="19"/>
                <w:szCs w:val="19"/>
              </w:rPr>
              <w:t xml:space="preserve">Support discernment</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FR08</w:t>
            </w:r>
          </w:p>
        </w:tc>
        <w:tc>
          <w:tcPr>
            <w:tcW w:type="dxa" w:w="4200"/>
            <w:tcMar>
              <w:top w:type="dxa" w:w="90"/>
              <w:left w:type="dxa" w:w="130"/>
              <w:bottom w:type="dxa" w:w="90"/>
              <w:right w:type="dxa" w:w="130"/>
            </w:tcMar>
          </w:tcPr>
          <w:p>
            <w:pPr>
              <w:spacing w:after="40"/>
            </w:pPr>
            <w:r>
              <w:rPr>
                <w:b w:val="false"/>
                <w:bCs w:val="false"/>
                <w:sz w:val="19"/>
                <w:szCs w:val="19"/>
              </w:rPr>
              <w:t xml:space="preserve">Choose a response</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FR09</w:t>
            </w:r>
          </w:p>
        </w:tc>
        <w:tc>
          <w:tcPr>
            <w:tcW w:type="dxa" w:w="4200"/>
            <w:tcMar>
              <w:top w:type="dxa" w:w="90"/>
              <w:left w:type="dxa" w:w="130"/>
              <w:bottom w:type="dxa" w:w="90"/>
              <w:right w:type="dxa" w:w="130"/>
            </w:tcMar>
          </w:tcPr>
          <w:p>
            <w:pPr>
              <w:spacing w:after="40"/>
            </w:pPr>
            <w:r>
              <w:rPr>
                <w:b w:val="false"/>
                <w:bCs w:val="false"/>
                <w:sz w:val="19"/>
                <w:szCs w:val="19"/>
              </w:rPr>
              <w:t xml:space="preserve">Review outcomes</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FR10</w:t>
            </w:r>
          </w:p>
        </w:tc>
        <w:tc>
          <w:tcPr>
            <w:tcW w:type="dxa" w:w="4200"/>
            <w:tcMar>
              <w:top w:type="dxa" w:w="90"/>
              <w:left w:type="dxa" w:w="130"/>
              <w:bottom w:type="dxa" w:w="90"/>
              <w:right w:type="dxa" w:w="130"/>
            </w:tcMar>
          </w:tcPr>
          <w:p>
            <w:pPr>
              <w:spacing w:after="40"/>
            </w:pPr>
            <w:r>
              <w:rPr>
                <w:b w:val="false"/>
                <w:bCs w:val="false"/>
                <w:sz w:val="19"/>
                <w:szCs w:val="19"/>
              </w:rPr>
              <w:t xml:space="preserve">No live AI in beta</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FR11</w:t>
            </w:r>
          </w:p>
        </w:tc>
        <w:tc>
          <w:tcPr>
            <w:tcW w:type="dxa" w:w="4200"/>
            <w:tcMar>
              <w:top w:type="dxa" w:w="90"/>
              <w:left w:type="dxa" w:w="130"/>
              <w:bottom w:type="dxa" w:w="90"/>
              <w:right w:type="dxa" w:w="130"/>
            </w:tcMar>
          </w:tcPr>
          <w:p>
            <w:pPr>
              <w:spacing w:after="40"/>
            </w:pPr>
            <w:r>
              <w:rPr>
                <w:b w:val="false"/>
                <w:bCs w:val="false"/>
                <w:sz w:val="19"/>
                <w:szCs w:val="19"/>
              </w:rPr>
              <w:t xml:space="preserve">Human-authored deterministic scenarios</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FR12</w:t>
            </w:r>
          </w:p>
        </w:tc>
        <w:tc>
          <w:tcPr>
            <w:tcW w:type="dxa" w:w="4200"/>
            <w:tcMar>
              <w:top w:type="dxa" w:w="90"/>
              <w:left w:type="dxa" w:w="130"/>
              <w:bottom w:type="dxa" w:w="90"/>
              <w:right w:type="dxa" w:w="130"/>
            </w:tcMar>
          </w:tcPr>
          <w:p>
            <w:pPr>
              <w:spacing w:after="40"/>
            </w:pPr>
            <w:r>
              <w:rPr>
                <w:b w:val="false"/>
                <w:bCs w:val="false"/>
                <w:sz w:val="19"/>
                <w:szCs w:val="19"/>
              </w:rPr>
              <w:t xml:space="preserve">Save and resume privately</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See FR18 for the identity boundary</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FR13</w:t>
            </w:r>
          </w:p>
        </w:tc>
        <w:tc>
          <w:tcPr>
            <w:tcW w:type="dxa" w:w="4200"/>
            <w:tcMar>
              <w:top w:type="dxa" w:w="90"/>
              <w:left w:type="dxa" w:w="130"/>
              <w:bottom w:type="dxa" w:w="90"/>
              <w:right w:type="dxa" w:w="130"/>
            </w:tcMar>
          </w:tcPr>
          <w:p>
            <w:pPr>
              <w:spacing w:after="40"/>
            </w:pPr>
            <w:r>
              <w:rPr>
                <w:b w:val="false"/>
                <w:bCs w:val="false"/>
                <w:sz w:val="19"/>
                <w:szCs w:val="19"/>
              </w:rPr>
              <w:t xml:space="preserve">Export and delete</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FR14</w:t>
            </w:r>
          </w:p>
        </w:tc>
        <w:tc>
          <w:tcPr>
            <w:tcW w:type="dxa" w:w="4200"/>
            <w:tcMar>
              <w:top w:type="dxa" w:w="90"/>
              <w:left w:type="dxa" w:w="130"/>
              <w:bottom w:type="dxa" w:w="90"/>
              <w:right w:type="dxa" w:w="130"/>
            </w:tcMar>
          </w:tcPr>
          <w:p>
            <w:pPr>
              <w:spacing w:after="40"/>
            </w:pPr>
            <w:r>
              <w:rPr>
                <w:b w:val="false"/>
                <w:bCs w:val="false"/>
                <w:sz w:val="19"/>
                <w:szCs w:val="19"/>
              </w:rPr>
              <w:t xml:space="preserve">Content publishing and versioning</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FR15</w:t>
            </w:r>
          </w:p>
        </w:tc>
        <w:tc>
          <w:tcPr>
            <w:tcW w:type="dxa" w:w="4200"/>
            <w:tcMar>
              <w:top w:type="dxa" w:w="90"/>
              <w:left w:type="dxa" w:w="130"/>
              <w:bottom w:type="dxa" w:w="90"/>
              <w:right w:type="dxa" w:w="130"/>
            </w:tcMar>
          </w:tcPr>
          <w:p>
            <w:pPr>
              <w:spacing w:after="40"/>
            </w:pPr>
            <w:r>
              <w:rPr>
                <w:b w:val="false"/>
                <w:bCs w:val="false"/>
                <w:sz w:val="19"/>
                <w:szCs w:val="19"/>
              </w:rPr>
              <w:t xml:space="preserve">No in-app feedback prompts during beta</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See FR19 for learning scope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FR16</w:t>
            </w:r>
          </w:p>
        </w:tc>
        <w:tc>
          <w:tcPr>
            <w:tcW w:type="dxa" w:w="4200"/>
            <w:tcMar>
              <w:top w:type="dxa" w:w="90"/>
              <w:left w:type="dxa" w:w="130"/>
              <w:bottom w:type="dxa" w:w="90"/>
              <w:right w:type="dxa" w:w="130"/>
            </w:tcMar>
          </w:tcPr>
          <w:p>
            <w:pPr>
              <w:spacing w:after="40"/>
            </w:pPr>
            <w:r>
              <w:rPr>
                <w:b w:val="false"/>
                <w:bCs w:val="false"/>
                <w:sz w:val="19"/>
                <w:szCs w:val="19"/>
              </w:rPr>
              <w:t xml:space="preserve">User control and operational privacy</w:t>
            </w:r>
          </w:p>
        </w:tc>
        <w:tc>
          <w:tcPr>
            <w:tcW w:type="dxa" w:w="1500"/>
            <w:tcMar>
              <w:top w:type="dxa" w:w="90"/>
              <w:left w:type="dxa" w:w="130"/>
              <w:bottom w:type="dxa" w:w="90"/>
              <w:right w:type="dxa" w:w="130"/>
            </w:tcMar>
          </w:tcPr>
          <w:p>
            <w:pPr>
              <w:spacing w:after="40"/>
            </w:pPr>
            <w:r>
              <w:rPr>
                <w:b w:val="false"/>
                <w:bCs w:val="false"/>
                <w:sz w:val="19"/>
                <w:szCs w:val="19"/>
              </w:rPr>
              <w:t xml:space="preserve">Amended</w:t>
            </w:r>
          </w:p>
        </w:tc>
        <w:tc>
          <w:tcPr>
            <w:tcW w:type="dxa" w:w="2460"/>
            <w:tcMar>
              <w:top w:type="dxa" w:w="90"/>
              <w:left w:type="dxa" w:w="130"/>
              <w:bottom w:type="dxa" w:w="90"/>
              <w:right w:type="dxa" w:w="130"/>
            </w:tcMar>
          </w:tcPr>
          <w:p>
            <w:pPr>
              <w:spacing w:after="40"/>
            </w:pPr>
            <w:r>
              <w:rPr>
                <w:b w:val="false"/>
                <w:bCs w:val="false"/>
                <w:sz w:val="19"/>
                <w:szCs w:val="19"/>
              </w:rPr>
              <w:t xml:space="preserve">Fallback content-report route specified</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FR17</w:t>
            </w:r>
          </w:p>
        </w:tc>
        <w:tc>
          <w:tcPr>
            <w:tcW w:type="dxa" w:w="4200"/>
            <w:tcMar>
              <w:top w:type="dxa" w:w="90"/>
              <w:left w:type="dxa" w:w="130"/>
              <w:bottom w:type="dxa" w:w="90"/>
              <w:right w:type="dxa" w:w="130"/>
            </w:tcMar>
          </w:tcPr>
          <w:p>
            <w:pPr>
              <w:spacing w:after="40"/>
            </w:pPr>
            <w:r>
              <w:rPr>
                <w:b w:val="false"/>
                <w:bCs w:val="false"/>
                <w:sz w:val="19"/>
                <w:szCs w:val="19"/>
              </w:rPr>
              <w:t xml:space="preserve">Decision register</w:t>
            </w:r>
          </w:p>
        </w:tc>
        <w:tc>
          <w:tcPr>
            <w:tcW w:type="dxa" w:w="1500"/>
            <w:tcMar>
              <w:top w:type="dxa" w:w="90"/>
              <w:left w:type="dxa" w:w="130"/>
              <w:bottom w:type="dxa" w:w="90"/>
              <w:right w:type="dxa" w:w="130"/>
            </w:tcMar>
          </w:tcPr>
          <w:p>
            <w:pPr>
              <w:spacing w:after="40"/>
            </w:pPr>
            <w:r>
              <w:rPr>
                <w:b w:val="false"/>
                <w:bCs w:val="false"/>
                <w:sz w:val="19"/>
                <w:szCs w:val="19"/>
              </w:rPr>
              <w:t xml:space="preserve">Carried from v0.3</w:t>
            </w:r>
          </w:p>
        </w:tc>
        <w:tc>
          <w:tcPr>
            <w:tcW w:type="dxa" w:w="2460"/>
            <w:tcMar>
              <w:top w:type="dxa" w:w="90"/>
              <w:left w:type="dxa" w:w="130"/>
              <w:bottom w:type="dxa" w:w="90"/>
              <w:right w:type="dxa" w:w="130"/>
            </w:tcMar>
          </w:tcPr>
          <w:p>
            <w:pPr>
              <w:spacing w:after="40"/>
            </w:pPr>
            <w:r>
              <w:rPr>
                <w:b w:val="false"/>
                <w:bCs w:val="false"/>
                <w:sz w:val="19"/>
                <w:szCs w:val="19"/>
              </w:rPr>
              <w:t xml:space="preserve">First entries recorded in section 9</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FR18</w:t>
            </w:r>
          </w:p>
        </w:tc>
        <w:tc>
          <w:tcPr>
            <w:tcW w:type="dxa" w:w="4200"/>
            <w:tcMar>
              <w:top w:type="dxa" w:w="90"/>
              <w:left w:type="dxa" w:w="130"/>
              <w:bottom w:type="dxa" w:w="90"/>
              <w:right w:type="dxa" w:w="130"/>
            </w:tcMar>
          </w:tcPr>
          <w:p>
            <w:pPr>
              <w:spacing w:after="40"/>
            </w:pPr>
            <w:r>
              <w:rPr>
                <w:b w:val="false"/>
                <w:bCs w:val="false"/>
                <w:sz w:val="19"/>
                <w:szCs w:val="19"/>
              </w:rPr>
              <w:t xml:space="preserve">Record identity boundary</w:t>
            </w:r>
          </w:p>
        </w:tc>
        <w:tc>
          <w:tcPr>
            <w:tcW w:type="dxa" w:w="1500"/>
            <w:tcMar>
              <w:top w:type="dxa" w:w="90"/>
              <w:left w:type="dxa" w:w="130"/>
              <w:bottom w:type="dxa" w:w="90"/>
              <w:right w:type="dxa" w:w="130"/>
            </w:tcMar>
          </w:tcPr>
          <w:p>
            <w:pPr>
              <w:spacing w:after="40"/>
            </w:pPr>
            <w:r>
              <w:rPr>
                <w:b w:val="false"/>
                <w:bCs w:val="false"/>
                <w:sz w:val="19"/>
                <w:szCs w:val="19"/>
              </w:rPr>
              <w:t xml:space="preserve">Carried; rationale strengthened</w:t>
            </w:r>
          </w:p>
        </w:tc>
        <w:tc>
          <w:tcPr>
            <w:tcW w:type="dxa" w:w="2460"/>
            <w:tcMar>
              <w:top w:type="dxa" w:w="90"/>
              <w:left w:type="dxa" w:w="130"/>
              <w:bottom w:type="dxa" w:w="90"/>
              <w:right w:type="dxa" w:w="130"/>
            </w:tcMar>
          </w:tcPr>
          <w:p>
            <w:pPr>
              <w:spacing w:after="40"/>
            </w:pPr>
            <w:r>
              <w:rPr>
                <w:b w:val="false"/>
                <w:bCs w:val="false"/>
                <w:sz w:val="19"/>
                <w:szCs w:val="19"/>
              </w:rPr>
              <w:t xml:space="preserve">Group direction raises urgency; still undecided</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FR19</w:t>
            </w:r>
          </w:p>
        </w:tc>
        <w:tc>
          <w:tcPr>
            <w:tcW w:type="dxa" w:w="4200"/>
            <w:tcMar>
              <w:top w:type="dxa" w:w="90"/>
              <w:left w:type="dxa" w:w="130"/>
              <w:bottom w:type="dxa" w:w="90"/>
              <w:right w:type="dxa" w:w="130"/>
            </w:tcMar>
          </w:tcPr>
          <w:p>
            <w:pPr>
              <w:spacing w:after="40"/>
            </w:pPr>
            <w:r>
              <w:rPr>
                <w:b w:val="false"/>
                <w:bCs w:val="false"/>
                <w:sz w:val="19"/>
                <w:szCs w:val="19"/>
              </w:rPr>
              <w:t xml:space="preserve">Beta learning scope</w:t>
            </w:r>
          </w:p>
        </w:tc>
        <w:tc>
          <w:tcPr>
            <w:tcW w:type="dxa" w:w="1500"/>
            <w:tcMar>
              <w:top w:type="dxa" w:w="90"/>
              <w:left w:type="dxa" w:w="130"/>
              <w:bottom w:type="dxa" w:w="90"/>
              <w:right w:type="dxa" w:w="130"/>
            </w:tcMar>
          </w:tcPr>
          <w:p>
            <w:pPr>
              <w:spacing w:after="40"/>
            </w:pPr>
            <w:r>
              <w:rPr>
                <w:b w:val="false"/>
                <w:bCs w:val="false"/>
                <w:sz w:val="19"/>
                <w:szCs w:val="19"/>
              </w:rPr>
              <w:t xml:space="preserve">Carried from v0.3</w:t>
            </w:r>
          </w:p>
        </w:tc>
        <w:tc>
          <w:tcPr>
            <w:tcW w:type="dxa" w:w="2460"/>
            <w:tcMar>
              <w:top w:type="dxa" w:w="90"/>
              <w:left w:type="dxa" w:w="130"/>
              <w:bottom w:type="dxa" w:w="90"/>
              <w:right w:type="dxa" w:w="130"/>
            </w:tcMar>
          </w:tcPr>
          <w:p>
            <w:pPr>
              <w:spacing w:after="40"/>
            </w:pPr>
            <w:r>
              <w:rPr>
                <w:b w:val="false"/>
                <w:bCs w:val="false"/>
                <w:sz w:val="19"/>
                <w:szCs w:val="19"/>
              </w:rPr>
              <w:t xml:space="preserve">How, or whether, the beta learns must be decided</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FR20</w:t>
            </w:r>
          </w:p>
        </w:tc>
        <w:tc>
          <w:tcPr>
            <w:tcW w:type="dxa" w:w="4200"/>
            <w:tcMar>
              <w:top w:type="dxa" w:w="90"/>
              <w:left w:type="dxa" w:w="130"/>
              <w:bottom w:type="dxa" w:w="90"/>
              <w:right w:type="dxa" w:w="130"/>
            </w:tcMar>
          </w:tcPr>
          <w:p>
            <w:pPr>
              <w:spacing w:after="40"/>
            </w:pPr>
            <w:r>
              <w:rPr>
                <w:b w:val="false"/>
                <w:bCs w:val="false"/>
                <w:sz w:val="19"/>
                <w:szCs w:val="19"/>
              </w:rPr>
              <w:t xml:space="preserve">Context precedes practice</w:t>
            </w:r>
          </w:p>
        </w:tc>
        <w:tc>
          <w:tcPr>
            <w:tcW w:type="dxa" w:w="1500"/>
            <w:tcMar>
              <w:top w:type="dxa" w:w="90"/>
              <w:left w:type="dxa" w:w="130"/>
              <w:bottom w:type="dxa" w:w="90"/>
              <w:right w:type="dxa" w:w="130"/>
            </w:tcMar>
          </w:tcPr>
          <w:p>
            <w:pPr>
              <w:spacing w:after="40"/>
            </w:pPr>
            <w:r>
              <w:rPr>
                <w:b w:val="false"/>
                <w:bCs w:val="false"/>
                <w:sz w:val="19"/>
                <w:szCs w:val="19"/>
              </w:rPr>
              <w:t xml:space="preserve">New in v0.4</w:t>
            </w:r>
          </w:p>
        </w:tc>
        <w:tc>
          <w:tcPr>
            <w:tcW w:type="dxa" w:w="2460"/>
            <w:tcMar>
              <w:top w:type="dxa" w:w="90"/>
              <w:left w:type="dxa" w:w="130"/>
              <w:bottom w:type="dxa" w:w="90"/>
              <w:right w:type="dxa" w:w="130"/>
            </w:tcMar>
          </w:tcPr>
          <w:p>
            <w:pPr>
              <w:spacing w:after="40"/>
            </w:pPr>
            <w:r>
              <w:rPr>
                <w:b w:val="false"/>
                <w:bCs w:val="false"/>
                <w:sz w:val="19"/>
                <w:szCs w:val="19"/>
              </w:rPr>
              <w:t xml:space="preserve">Enough situation before Notice; placement recorded per scenario</w:t>
            </w:r>
          </w:p>
        </w:tc>
      </w:tr>
    </w:tbl>
    <w:p>
      <w:pPr>
        <w:pStyle w:val="Heading2"/>
        <w:spacing w:after="120" w:before="240"/>
      </w:pPr>
      <w:r>
        <w:t xml:space="preserve">FR01 — Mobile entry and routes (amended)</w:t>
      </w:r>
    </w:p>
    <w:p>
      <w:pPr>
        <w:spacing w:after="140"/>
      </w:pPr>
      <w:r>
        <w:t xml:space="preserve">The PWA shall open a published entry pack using allowlisted content, locale and scenario identifiers. Unknown or retired identifiers shall show a safe fallback. Links may identify content, never a person or inferred ideology. First use shall not require account creation or installation.</w:t>
      </w:r>
    </w:p>
    <w:p>
      <w:pPr>
        <w:spacing w:after="140"/>
      </w:pPr>
      <w:r>
        <w:t xml:space="preserve">Added in v0.3: the browse list and button route shall be implemented and pass its acceptance evidence before the swipeable reel is treated as complete. Where the two diverge, the list route defines required behaviour.</w:t>
      </w:r>
    </w:p>
    <w:p>
      <w:pPr>
        <w:pStyle w:val="Heading2"/>
        <w:spacing w:after="120" w:before="240"/>
      </w:pPr>
      <w:r>
        <w:t xml:space="preserve">FR02 — User-chosen presentation (amended)</w:t>
      </w:r>
    </w:p>
    <w:p>
      <w:pPr>
        <w:spacing w:after="140"/>
      </w:pPr>
      <w:r>
        <w:t xml:space="preserve">Users shall be able to browse or select entry doors, change language and presentation, and choose a fictional or personal route. The app shall not infer cultural, political or personal identity from a link, location, appearance, name or browsing history. The taxonomy shall be versioned and revisable.</w:t>
      </w:r>
    </w:p>
    <w:p>
      <w:pPr>
        <w:spacing w:after="140"/>
      </w:pPr>
      <w:r>
        <w:t xml:space="preserve">Added in v0.3: the taxonomy review shall record a decision on the three non-situational doors identified in section 2, and the recorded decision shall accompany the taxonomy version.</w:t>
      </w:r>
    </w:p>
    <w:p>
      <w:pPr>
        <w:pStyle w:val="Heading2"/>
        <w:spacing w:after="120" w:before="240"/>
      </w:pPr>
      <w:r>
        <w:t xml:space="preserve">FR16 — User control and operational privacy (amended)</w:t>
      </w:r>
    </w:p>
    <w:p>
      <w:pPr>
        <w:spacing w:after="140"/>
      </w:pPr>
      <w:r>
        <w:t xml:space="preserve">Provide a stable Exit action, privacy explanation, and a way to report confusing or inappropriate content without silently attaching session contents. Collect essential operational telemetry only; do not collect reflection text, motivation labels, source text, inferred ideology, detailed personal activity trails or contact details in telemetry. Review hosting and platform logs before release.</w:t>
      </w:r>
    </w:p>
    <w:p>
      <w:pPr>
        <w:spacing w:after="140"/>
      </w:pPr>
      <w:r>
        <w:rPr>
          <w:b/>
          <w:bCs/>
        </w:rPr>
        <w:t xml:space="preserve">Added in v0.3. </w:t>
      </w:r>
      <w:r>
        <w:rPr>
          <w:b w:val="false"/>
          <w:bCs w:val="false"/>
        </w:rPr>
        <w:t xml:space="preserve">A reviewed manual report route shall be specified as the fallback and shall satisfy this requirement on its own. The route shall compose and preview report text, show the user exactly what would leave the device, and require explicit approval before anything is transmitted or copied out. No approved report endpoint is required for this requirement to pass. The reason for this amendment: in v0.2 a required capability depended on an undecided item in section 9, which meant the requirement could not be satisfied at its gate.</w:t>
      </w:r>
    </w:p>
    <w:p>
      <w:pPr>
        <w:pStyle w:val="Heading2"/>
        <w:spacing w:after="120" w:before="240"/>
      </w:pPr>
      <w:r>
        <w:t xml:space="preserve">FR17 — Decision register (new)</w:t>
      </w:r>
    </w:p>
    <w:p>
      <w:pPr>
        <w:spacing w:after="140"/>
      </w:pPr>
      <w:r>
        <w:t xml:space="preserve">The project shall maintain a decision register recording, for every item in section 9: the decision taken, the person who took it, the date, and the evidence relied on. A deliberate decision not to decide is a valid entry and shall name the gate at which it will be revisited.</w:t>
      </w:r>
    </w:p>
    <w:p>
      <w:pPr>
        <w:spacing w:after="140"/>
      </w:pPr>
      <w:r>
        <w:t xml:space="preserve">No phase gate shall pass while an item the register binds to that gate is unrecorded. Section 8 names the binding.</w:t>
      </w:r>
    </w:p>
    <w:p>
      <w:pPr>
        <w:spacing w:after="140"/>
      </w:pPr>
      <w:r>
        <w:t xml:space="preserve">This requirement adds no position on any open item. It requires only that an answer exist, be attributable and be dated before work proceeds past the point where the answer constrains it.</w:t>
      </w:r>
    </w:p>
    <w:p>
      <w:pPr>
        <w:pStyle w:val="Heading2"/>
        <w:spacing w:after="120" w:before="240"/>
      </w:pPr>
      <w:r>
        <w:t xml:space="preserve">FR18 — Record identity boundary (new)</w:t>
      </w:r>
    </w:p>
    <w:p>
      <w:pPr>
        <w:spacing w:after="140"/>
      </w:pPr>
      <w:r>
        <w:t xml:space="preserve">Before the saved-record schema is implemented, the project shall decide and record whether a saved local record may ever be associated with a durable identity, and shall state the consequence of that decision for capability currently deferred from beta.</w:t>
      </w:r>
    </w:p>
    <w:p>
      <w:pPr>
        <w:spacing w:after="140"/>
      </w:pPr>
      <w:r>
        <w:t xml:space="preserve">Rationale. FR12 requires no account and a device-local journal. The architecture is separately required to leave room for future use in group settings. Group capability needs some stable identity to attach membership and shared content to. Whether a local record can ever be associated with such an identity is settled in practice by the record schema, which is implemented well before the deferred capability is revisited. The decision is therefore made at schema time whether or not anyone makes it deliberately.</w:t>
      </w:r>
    </w:p>
    <w:p>
      <w:pPr>
        <w:spacing w:after="140"/>
      </w:pPr>
      <w:r>
        <w:t xml:space="preserve">Either answer satisfies this requirement. A decision that local records shall remain permanently unassociable is a complete answer, and shall be recorded together with the statement that future group capability would begin from content authored separately rather than from existing reflections. A decision to preserve a seam shall specify what the seam is and what it does not permit.</w:t>
      </w:r>
    </w:p>
    <w:p>
      <w:pPr>
        <w:spacing w:after="140"/>
      </w:pPr>
      <w:r>
        <w:rPr>
          <w:b/>
          <w:bCs/>
        </w:rPr>
        <w:t xml:space="preserve">Added in v0.4. </w:t>
      </w:r>
      <w:r>
        <w:rPr>
          <w:b w:val="false"/>
          <w:bCs w:val="false"/>
        </w:rPr>
        <w:t xml:space="preserve">The stated product direction in section 1 — choose scenarios that set up for group work — bears on this decision directly. If group work is where the product is going rather than a deferred possibility, the option of permanently unassociable records becomes less likely to be the right answer, because it would mean future group capability begins from nothing a participant has already reflected on. The decision is still open and still belongs to the named owners. What has changed is that it can no longer be treated as a low-stakes default, and it should be taken in Phase 0 rather than left to Phase 1.</w:t>
      </w:r>
    </w:p>
    <w:p>
      <w:pPr>
        <w:spacing w:after="140"/>
      </w:pPr>
      <w:r>
        <w:t xml:space="preserve">This requirement does not approve, schedule or scope any group capability.</w:t>
      </w:r>
    </w:p>
    <w:p>
      <w:pPr>
        <w:pStyle w:val="Heading2"/>
        <w:spacing w:after="120" w:before="240"/>
      </w:pPr>
      <w:r>
        <w:t xml:space="preserve">FR19 — Beta learning scope (new)</w:t>
      </w:r>
    </w:p>
    <w:p>
      <w:pPr>
        <w:spacing w:after="140"/>
      </w:pPr>
      <w:r>
        <w:t xml:space="preserve">Before the thin shell is implemented, the project shall decide and record what, if anything, the beta is expected to learn about whether participants found the experience worthwhile, and by what means.</w:t>
      </w:r>
    </w:p>
    <w:p>
      <w:pPr>
        <w:spacing w:after="140"/>
      </w:pPr>
      <w:r>
        <w:t xml:space="preserve">Rationale. The stated wish is to learn whether participants felt they got something out of the app, preferably from a behavioural sign rather than a direct question. FR15 prohibits asking at completion, abandonment or return, which are the moments such a sign would be read. FR16 prohibits detailed personal activity trails in telemetry. Candidate signals — voluntary saving, a self-chosen response category, voluntary return, a participant-chosen revision — therefore exist only on the user’s own device, where they cannot be observed. The requirement as stated and the boundary as agreed cannot both be satisfied without a decision.</w:t>
      </w:r>
    </w:p>
    <w:p>
      <w:pPr>
        <w:spacing w:after="140"/>
      </w:pPr>
      <w:r>
        <w:t xml:space="preserve">A recorded decision shall take one of these forms, and shall not be left implicit:</w:t>
      </w:r>
    </w:p>
    <w:p>
      <w:pPr>
        <w:pStyle w:val="ListParagraph"/>
        <w:numPr>
          <w:ilvl w:val="0"/>
          <w:numId w:val="2"/>
        </w:numPr>
        <w:spacing w:after="80"/>
      </w:pPr>
      <w:r>
        <w:t xml:space="preserve">The beta does not answer the question, and this is accepted.</w:t>
      </w:r>
    </w:p>
    <w:p>
      <w:pPr>
        <w:pStyle w:val="ListParagraph"/>
        <w:numPr>
          <w:ilvl w:val="0"/>
          <w:numId w:val="2"/>
        </w:numPr>
        <w:spacing w:after="80"/>
      </w:pPr>
      <w:r>
        <w:t xml:space="preserve">The question is answered outside the app, by direct contact with invited participants, within the non-formal-pilot boundary and without in-app prompts of any kind.</w:t>
      </w:r>
    </w:p>
    <w:p>
      <w:pPr>
        <w:pStyle w:val="ListParagraph"/>
        <w:numPr>
          <w:ilvl w:val="0"/>
          <w:numId w:val="2"/>
        </w:numPr>
        <w:spacing w:after="80"/>
      </w:pPr>
      <w:r>
        <w:t xml:space="preserve">A specific aggregate signal is approved, named event by event, after field-level privacy review, with its retention stated.</w:t>
      </w:r>
    </w:p>
    <w:p>
      <w:pPr>
        <w:spacing w:after="140"/>
      </w:pPr>
      <w:r>
        <w:t xml:space="preserve">Until this is recorded, no client-side counter, event or stored flag whose purpose is to indicate value, engagement or benefit shall be implemented. FR15 and FR16 are not relaxed by this requirement.</w:t>
      </w:r>
    </w:p>
    <w:p>
      <w:pPr>
        <w:pStyle w:val="Heading2"/>
        <w:spacing w:after="120" w:before="240"/>
      </w:pPr>
      <w:r>
        <w:t xml:space="preserve">FR20 — Context precedes practice (new in v0.4)</w:t>
      </w:r>
    </w:p>
    <w:p>
      <w:pPr>
        <w:spacing w:after="140"/>
      </w:pPr>
      <w:r>
        <w:t xml:space="preserve">Before the attention practice is offered within a scenario, the scenario shall have presented enough situational context for an emotional response to be possible. The placement of the Notice stage within each scenario is a content decision, recorded with the scenario, and need not be the same across scenarios.</w:t>
      </w:r>
    </w:p>
    <w:p>
      <w:pPr>
        <w:spacing w:after="140"/>
      </w:pPr>
      <w:r>
        <w:t xml:space="preserve">Rationale. A reviewer of the entry-flow mockup found that the attentiveness layer felt premature: not enough context had been presented in each scenario for the user to have an emotional reaction to reflect on. He allowed that this might be an artefact of the mockup. Either way, the seven stages are already defined as a flexible cycle rather than a fixed order, and this requirement makes that flexibility operational at the one point where it matters most — the practice is only useful if there is something to practise on.</w:t>
      </w:r>
    </w:p>
    <w:p>
      <w:pPr>
        <w:spacing w:after="140"/>
      </w:pPr>
      <w:r>
        <w:t xml:space="preserve">This requirement does not fix an order. It requires that, for each authored scenario, the content owner has considered where Notice belongs and recorded the reason. A scenario whose practice precedes its situation shall carry a recorded justification; the default assumption is that it should not.</w:t>
      </w:r>
    </w:p>
    <w:p>
      <w:pPr>
        <w:spacing w:after="140"/>
      </w:pPr>
      <w:r>
        <w:t xml:space="preserve">FR04 is unchanged: the practice remains versioned, reviewed, skippable, and never a measure of attentiveness.</w:t>
      </w:r>
    </w:p>
    <w:p>
      <w:pPr>
        <w:pStyle w:val="Heading1"/>
        <w:spacing w:after="160" w:before="320"/>
      </w:pPr>
      <w:r>
        <w:t xml:space="preserve">5. Technical architecture and data boundaries</w:t>
      </w:r>
    </w:p>
    <w:p>
      <w:pPr>
        <w:spacing w:after="140"/>
      </w:pPr>
      <w:r>
        <w:t xml:space="preserve">The logical components and data handling principles of v0.2 are carried forward unchanged: presentation, content, local session, export and delete, operational, and the future capability boundary. Core flows must function without transmitting personal reflection text to an app server. No account or server-side journal in beta.</w:t>
      </w:r>
    </w:p>
    <w:p>
      <w:pPr>
        <w:pStyle w:val="Heading2"/>
        <w:spacing w:after="120" w:before="240"/>
      </w:pPr>
      <w:r>
        <w:t xml:space="preserve">Media precedence (new)</w:t>
      </w:r>
    </w:p>
    <w:p>
      <w:pPr>
        <w:spacing w:after="140"/>
      </w:pPr>
      <w:r>
        <w:t xml:space="preserve">The project shall record whether authored audiovisual material is the content of a scenario or an enhancement to a text route that carries the content on its own.</w:t>
      </w:r>
    </w:p>
    <w:p>
      <w:pPr>
        <w:spacing w:after="140"/>
      </w:pPr>
      <w:r>
        <w:t xml:space="preserve">Rationale. The creative direction is pre-produced audiovisual. Section 6 requires text alternatives that carry the core content, and the proposed minimum offline policy is a reliable text route with optional network media. These are consistent only if the text route is complete in itself. If it is, the audiovisual material is an enhancement and the production schedule can be sized accordingly. If it is not, the text alternatives do not satisfy section 6. One of the two is true and the answer governs the production schedule, the offline policy and the accessibility work.</w:t>
      </w:r>
    </w:p>
    <w:p>
      <w:pPr>
        <w:spacing w:after="140"/>
      </w:pPr>
      <w:r>
        <w:rPr>
          <w:b/>
          <w:bCs/>
        </w:rPr>
        <w:t xml:space="preserve">Stated content roadmap (recorded, v0.4). </w:t>
      </w:r>
      <w:r>
        <w:rPr>
          <w:b w:val="false"/>
          <w:bCs w:val="false"/>
        </w:rPr>
        <w:t xml:space="preserve">Jake H. Davis, 23 October 2026: later versions will need video for each scenario, and audio, and at a minimum realistic images in different presentation styles. This is recorded as input to the media precedence decision above and as context for the production schedule. It is a statement of intended direction, not an authorization, and the decision it informs is still open.</w:t>
      </w:r>
    </w:p>
    <w:p>
      <w:pPr>
        <w:spacing w:after="140"/>
      </w:pPr>
      <w:r>
        <w:t xml:space="preserve">This requirement does not authorize asset production of any kind.</w:t>
      </w:r>
    </w:p>
    <w:p>
      <w:pPr>
        <w:pStyle w:val="Heading1"/>
        <w:spacing w:after="160" w:before="320"/>
      </w:pPr>
      <w:r>
        <w:t xml:space="preserve">6. Accessibility, safety and content review</w:t>
      </w:r>
    </w:p>
    <w:p>
      <w:pPr>
        <w:spacing w:after="140"/>
      </w:pPr>
      <w:r>
        <w:t xml:space="preserve">Carried forward from v0.2: critical choices available without relying solely on colour, sound or video; captions and transcripts for speech; text alternatives for key visual content; keyboard navigation; readable contrast; visible focus; scalable text; reduced-motion handling. No requirement to disclose personal experience. Fictional and neutral alternatives offered. No shame, forced reconciliation, forced disclosure, or implied correct moral conclusion. A content correction and report pathway that sends only what the user previews and approves. Accountable product, engineering, content and privacy owners assigned before release.</w:t>
      </w:r>
    </w:p>
    <w:p>
      <w:pPr>
        <w:pStyle w:val="Heading2"/>
        <w:spacing w:after="120" w:before="240"/>
      </w:pPr>
      <w:r>
        <w:t xml:space="preserve">Amendments in v0.3</w:t>
      </w:r>
    </w:p>
    <w:p>
      <w:pPr>
        <w:pStyle w:val="ListParagraph"/>
        <w:numPr>
          <w:ilvl w:val="0"/>
          <w:numId w:val="2"/>
        </w:numPr>
        <w:spacing w:after="140"/>
      </w:pPr>
      <w:r>
        <w:rPr>
          <w:b/>
          <w:bCs/>
        </w:rPr>
        <w:t xml:space="preserve">Screen reader evidence. </w:t>
      </w:r>
      <w:r>
        <w:rPr>
          <w:b w:val="false"/>
          <w:bCs w:val="false"/>
        </w:rPr>
        <w:t xml:space="preserve">Accessibility evidence shall cover both entry routes — the list and button route and the visual reel — under a screen reader, and shall record the reader and platform used. The mockup QA of 21 October 2026 records that screen readers were not tested, so no existing evidence covers this.</w:t>
      </w:r>
    </w:p>
    <w:p>
      <w:pPr>
        <w:pStyle w:val="ListParagraph"/>
        <w:numPr>
          <w:ilvl w:val="0"/>
          <w:numId w:val="2"/>
        </w:numPr>
        <w:spacing w:after="140"/>
      </w:pPr>
      <w:r>
        <w:rPr>
          <w:b/>
          <w:bCs/>
        </w:rPr>
        <w:t xml:space="preserve">Safety authoring guidance. </w:t>
      </w:r>
      <w:r>
        <w:rPr>
          <w:b w:val="false"/>
          <w:bCs w:val="false"/>
        </w:rPr>
        <w:t xml:space="preserve">Before any scenario is published under the "Unresolved personal tension" or "Values in tension" doors, the content owner shall record what the app presents if a user writes something indicating risk of harm. FR08 prohibits the app from acting, so the authored copy at that moment is the whole of the safeguard and shall be reviewed as such.</w:t>
      </w:r>
    </w:p>
    <w:p>
      <w:pPr>
        <w:pStyle w:val="ListParagraph"/>
        <w:numPr>
          <w:ilvl w:val="0"/>
          <w:numId w:val="2"/>
        </w:numPr>
        <w:spacing w:after="140"/>
      </w:pPr>
      <w:r>
        <w:rPr>
          <w:b/>
          <w:bCs/>
        </w:rPr>
        <w:t xml:space="preserve">Authoring load. </w:t>
      </w:r>
      <w:r>
        <w:rPr>
          <w:b w:val="false"/>
          <w:bCs w:val="false"/>
        </w:rPr>
        <w:t xml:space="preserve">One scenario shall be authored complete — prompts, practice, branches, text alternatives, captions, transcript, locale assets and independent review — and its actual cost recorded, before an initial launch subset is selected. Nine doors do not mean nine launch-ready scenarios.</w:t>
      </w:r>
    </w:p>
    <w:p>
      <w:pPr>
        <w:pStyle w:val="ListParagraph"/>
        <w:numPr>
          <w:ilvl w:val="0"/>
          <w:numId w:val="2"/>
        </w:numPr>
        <w:spacing w:after="140"/>
      </w:pPr>
      <w:r>
        <w:rPr>
          <w:b/>
          <w:bCs/>
        </w:rPr>
        <w:t xml:space="preserve">Addendum anchoring. </w:t>
      </w:r>
      <w:r>
        <w:rPr>
          <w:b w:val="false"/>
          <w:bCs w:val="false"/>
        </w:rPr>
        <w:t xml:space="preserve">The voice-first and social-entry addenda of 21 October 2026 both cite the v0.1 specification as unchanged and were written on the day v0.2 superseded it. Any scope drawn from either shall be re-anchored to the governing specification first. Both remain demonstrators and authorize nothing.</w:t>
      </w:r>
    </w:p>
    <w:p>
      <w:pPr>
        <w:pStyle w:val="Heading1"/>
        <w:spacing w:after="160" w:before="320"/>
      </w:pPr>
      <w:r>
        <w:t xml:space="preserve">7. Acceptance tests</w:t>
      </w:r>
    </w:p>
    <w:p>
      <w:pPr>
        <w:spacing w:after="140"/>
      </w:pPr>
      <w:r>
        <w:t xml:space="preserve">AT01 to AT17 are carried forward from v0.2. Amendments and the new test follow.</w:t>
      </w:r>
    </w:p>
    <w:p>
      <w:pPr>
        <w:pStyle w:val="Heading2"/>
        <w:spacing w:after="120" w:before="240"/>
      </w:pPr>
      <w:r>
        <w:t xml:space="preserve">AT10 Save and resume (amended)</w:t>
      </w:r>
    </w:p>
    <w:p>
      <w:pPr>
        <w:spacing w:after="140"/>
      </w:pPr>
      <w:r>
        <w:t xml:space="preserve">Nothing is durably saved before an explicit Save action. A saved session can be reopened on the same browser after each of the following, which together define normal storage conditions for this test: a page reload; a browser restart; the device being powered off and on. Behaviour shall also be recorded, without being required to succeed, under quota exhaustion, storage eviction and the user clearing site data. Where a record cannot be recovered the app shall say so plainly and shall not report a false success.</w:t>
      </w:r>
    </w:p>
    <w:p>
      <w:pPr>
        <w:spacing w:after="140"/>
      </w:pPr>
      <w:r>
        <w:t xml:space="preserve">Reason for the amendment: v0.2 required reopening under "normal storage conditions" without defining the phrase, leaving a gate reviewer to judge it.</w:t>
      </w:r>
    </w:p>
    <w:p>
      <w:pPr>
        <w:pStyle w:val="Heading2"/>
        <w:spacing w:after="120" w:before="240"/>
      </w:pPr>
      <w:r>
        <w:t xml:space="preserve">AT12 Telemetry and log review (amended)</w:t>
      </w:r>
    </w:p>
    <w:p>
      <w:pPr>
        <w:spacing w:after="140"/>
      </w:pPr>
      <w:r>
        <w:t xml:space="preserve">Telemetry and hosting and error logs contain no reflection text, motivation labels, source text or unnecessary identifiers. Testing shall use unique fictional canary strings pushed through every flow, every failure path and the report route, and shall inspect browser requests and hosting, CDN, access and error logs. The review shall additionally confirm that no counter, event or flag prohibited by FR19 has been implemented.</w:t>
      </w:r>
    </w:p>
    <w:p>
      <w:pPr>
        <w:pStyle w:val="Heading2"/>
        <w:spacing w:after="120" w:before="240"/>
      </w:pPr>
      <w:r>
        <w:t xml:space="preserve">AT15 Device accessibility (amended)</w:t>
      </w:r>
    </w:p>
    <w:p>
      <w:pPr>
        <w:spacing w:after="140"/>
      </w:pPr>
      <w:r>
        <w:t xml:space="preserve">Critical flows are tested on representative phones and include non-video and non-audio alternatives, keyboard and focus support where applicable, and scalable text. Evidence shall name the phone and browser matrix, record basic tablet and desktop checks, and cover both entry routes under a named screen reader on a named platform. Modal focus trapping and large-text layout shall be included.</w:t>
      </w:r>
    </w:p>
    <w:p>
      <w:pPr>
        <w:pStyle w:val="Heading2"/>
        <w:spacing w:after="120" w:before="240"/>
      </w:pPr>
      <w:r>
        <w:t xml:space="preserve">AT18 Decision register completeness (new)</w:t>
      </w:r>
    </w:p>
    <w:p>
      <w:pPr>
        <w:spacing w:after="140"/>
      </w:pPr>
      <w:r>
        <w:t xml:space="preserve">At each gate, every section 9 item bound to that gate by section 8 has an entry in the decision register carrying a decision, a named person, a date and the evidence relied on. A recorded decision to defer names the gate at which it will be revisited. An unrecorded item fails this test and blocks the gate.</w:t>
      </w:r>
    </w:p>
    <w:p>
      <w:pPr>
        <w:pStyle w:val="Heading1"/>
        <w:spacing w:after="160" w:before="320"/>
      </w:pPr>
      <w:r>
        <w:t xml:space="preserve">8. Delivery sequence and release gates</w:t>
      </w:r>
    </w:p>
    <w:p>
      <w:pPr>
        <w:spacing w:after="140"/>
      </w:pPr>
      <w:r>
        <w:t xml:space="preserve">The delivery sequence of v0.2 is carried forward. This revision binds the open items to the gates they constrain, so that an unmade decision stops work before it has silently been made by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530"/>
        <w:gridCol w:w="2530"/>
      </w:tblGrid>
      <w:tr>
        <w:trPr>
          <w:tblHeader/>
        </w:trPr>
        <w:tc>
          <w:tcPr>
            <w:tcW w:type="dxa" w:w="900"/>
            <w:shd w:fill="EDEFEC" w:val="clear"/>
            <w:tcMar>
              <w:top w:type="dxa" w:w="90"/>
              <w:left w:type="dxa" w:w="130"/>
              <w:bottom w:type="dxa" w:w="90"/>
              <w:right w:type="dxa" w:w="130"/>
            </w:tcMar>
          </w:tcPr>
          <w:p>
            <w:pPr>
              <w:spacing w:after="40"/>
            </w:pPr>
            <w:r>
              <w:rPr>
                <w:b/>
                <w:bCs/>
                <w:sz w:val="19"/>
                <w:szCs w:val="19"/>
              </w:rPr>
              <w:t xml:space="preserve">Phase</w:t>
            </w:r>
          </w:p>
        </w:tc>
        <w:tc>
          <w:tcPr>
            <w:tcW w:type="dxa" w:w="3400"/>
            <w:shd w:fill="EDEFEC" w:val="clear"/>
            <w:tcMar>
              <w:top w:type="dxa" w:w="90"/>
              <w:left w:type="dxa" w:w="130"/>
              <w:bottom w:type="dxa" w:w="90"/>
              <w:right w:type="dxa" w:w="130"/>
            </w:tcMar>
          </w:tcPr>
          <w:p>
            <w:pPr>
              <w:spacing w:after="40"/>
            </w:pPr>
            <w:r>
              <w:rPr>
                <w:b/>
                <w:bCs/>
                <w:sz w:val="19"/>
                <w:szCs w:val="19"/>
              </w:rPr>
              <w:t xml:space="preserve">Deliverable</w:t>
            </w:r>
          </w:p>
        </w:tc>
        <w:tc>
          <w:tcPr>
            <w:tcW w:type="dxa" w:w="2530"/>
            <w:shd w:fill="EDEFEC" w:val="clear"/>
            <w:tcMar>
              <w:top w:type="dxa" w:w="90"/>
              <w:left w:type="dxa" w:w="130"/>
              <w:bottom w:type="dxa" w:w="90"/>
              <w:right w:type="dxa" w:w="130"/>
            </w:tcMar>
          </w:tcPr>
          <w:p>
            <w:pPr>
              <w:spacing w:after="40"/>
            </w:pPr>
            <w:r>
              <w:rPr>
                <w:b/>
                <w:bCs/>
                <w:sz w:val="19"/>
                <w:szCs w:val="19"/>
              </w:rPr>
              <w:t xml:space="preserve">Decisions that must be recorded</w:t>
            </w:r>
          </w:p>
        </w:tc>
        <w:tc>
          <w:tcPr>
            <w:tcW w:type="dxa" w:w="2530"/>
            <w:shd w:fill="EDEFEC" w:val="clear"/>
            <w:tcMar>
              <w:top w:type="dxa" w:w="90"/>
              <w:left w:type="dxa" w:w="130"/>
              <w:bottom w:type="dxa" w:w="90"/>
              <w:right w:type="dxa" w:w="130"/>
            </w:tcMar>
          </w:tcPr>
          <w:p>
            <w:pPr>
              <w:spacing w:after="40"/>
            </w:pPr>
            <w:r>
              <w:rPr>
                <w:b/>
                <w:bCs/>
                <w:sz w:val="19"/>
                <w:szCs w:val="19"/>
              </w:rPr>
              <w:t xml:space="preserve">Tests</w:t>
            </w:r>
          </w:p>
        </w:tc>
      </w:tr>
      <w:tr>
        <w:trPr>
          <w:tblHeader w:val="off"/>
        </w:trPr>
        <w:tc>
          <w:tcPr>
            <w:tcW w:type="dxa" w:w="900"/>
            <w:tcMar>
              <w:top w:type="dxa" w:w="90"/>
              <w:left w:type="dxa" w:w="130"/>
              <w:bottom w:type="dxa" w:w="90"/>
              <w:right w:type="dxa" w:w="130"/>
            </w:tcMar>
          </w:tcPr>
          <w:p>
            <w:pPr>
              <w:spacing w:after="40"/>
            </w:pPr>
            <w:r>
              <w:rPr>
                <w:b/>
                <w:bCs/>
                <w:sz w:val="19"/>
                <w:szCs w:val="19"/>
              </w:rPr>
              <w:t xml:space="preserve">0</w:t>
            </w:r>
          </w:p>
        </w:tc>
        <w:tc>
          <w:tcPr>
            <w:tcW w:type="dxa" w:w="3400"/>
            <w:tcMar>
              <w:top w:type="dxa" w:w="90"/>
              <w:left w:type="dxa" w:w="130"/>
              <w:bottom w:type="dxa" w:w="90"/>
              <w:right w:type="dxa" w:w="130"/>
            </w:tcMar>
          </w:tcPr>
          <w:p>
            <w:pPr>
              <w:spacing w:after="40"/>
            </w:pPr>
            <w:r>
              <w:rPr>
                <w:b w:val="false"/>
                <w:bCs w:val="false"/>
                <w:sz w:val="19"/>
                <w:szCs w:val="19"/>
              </w:rPr>
              <w:t xml:space="preserve">Agree scope: requirements, content principles, owners, device matrix</w:t>
            </w:r>
          </w:p>
        </w:tc>
        <w:tc>
          <w:tcPr>
            <w:tcW w:type="dxa" w:w="2530"/>
            <w:tcMar>
              <w:top w:type="dxa" w:w="90"/>
              <w:left w:type="dxa" w:w="130"/>
              <w:bottom w:type="dxa" w:w="90"/>
              <w:right w:type="dxa" w:w="130"/>
            </w:tcMar>
          </w:tcPr>
          <w:p>
            <w:pPr>
              <w:spacing w:after="40"/>
            </w:pPr>
            <w:r>
              <w:rPr>
                <w:b w:val="false"/>
                <w:bCs w:val="false"/>
                <w:sz w:val="19"/>
                <w:szCs w:val="19"/>
              </w:rPr>
              <w:t xml:space="preserve">Owners (all four). Media precedence (§5). Report route (FR16). Record identity boundary (FR18) — moved here from gate 1 in light of the group direction</w:t>
            </w:r>
          </w:p>
        </w:tc>
        <w:tc>
          <w:tcPr>
            <w:tcW w:type="dxa" w:w="2530"/>
            <w:tcMar>
              <w:top w:type="dxa" w:w="90"/>
              <w:left w:type="dxa" w:w="130"/>
              <w:bottom w:type="dxa" w:w="90"/>
              <w:right w:type="dxa" w:w="130"/>
            </w:tcMar>
          </w:tcPr>
          <w:p>
            <w:pPr>
              <w:spacing w:after="40"/>
            </w:pPr>
            <w:r>
              <w:rPr>
                <w:b w:val="false"/>
                <w:bCs w:val="false"/>
                <w:sz w:val="19"/>
                <w:szCs w:val="19"/>
              </w:rPr>
              <w:t xml:space="preserve">AT18</w:t>
            </w:r>
          </w:p>
        </w:tc>
      </w:tr>
      <w:tr>
        <w:trPr>
          <w:tblHeader w:val="off"/>
        </w:trPr>
        <w:tc>
          <w:tcPr>
            <w:tcW w:type="dxa" w:w="900"/>
            <w:tcMar>
              <w:top w:type="dxa" w:w="90"/>
              <w:left w:type="dxa" w:w="130"/>
              <w:bottom w:type="dxa" w:w="90"/>
              <w:right w:type="dxa" w:w="130"/>
            </w:tcMar>
          </w:tcPr>
          <w:p>
            <w:pPr>
              <w:spacing w:after="40"/>
            </w:pPr>
            <w:r>
              <w:rPr>
                <w:b/>
                <w:bCs/>
                <w:sz w:val="19"/>
                <w:szCs w:val="19"/>
              </w:rPr>
              <w:t xml:space="preserve">1</w:t>
            </w:r>
          </w:p>
        </w:tc>
        <w:tc>
          <w:tcPr>
            <w:tcW w:type="dxa" w:w="3400"/>
            <w:tcMar>
              <w:top w:type="dxa" w:w="90"/>
              <w:left w:type="dxa" w:w="130"/>
              <w:bottom w:type="dxa" w:w="90"/>
              <w:right w:type="dxa" w:w="130"/>
            </w:tcMar>
          </w:tcPr>
          <w:p>
            <w:pPr>
              <w:spacing w:after="40"/>
            </w:pPr>
            <w:r>
              <w:rPr>
                <w:b w:val="false"/>
                <w:bCs w:val="false"/>
                <w:sz w:val="19"/>
                <w:szCs w:val="19"/>
              </w:rPr>
              <w:t xml:space="preserve">Thin PWA shell: navigation, seven stages, memory drafts, routes, privacy guard, Exit</w:t>
            </w:r>
          </w:p>
        </w:tc>
        <w:tc>
          <w:tcPr>
            <w:tcW w:type="dxa" w:w="2530"/>
            <w:tcMar>
              <w:top w:type="dxa" w:w="90"/>
              <w:left w:type="dxa" w:w="130"/>
              <w:bottom w:type="dxa" w:w="90"/>
              <w:right w:type="dxa" w:w="130"/>
            </w:tcMar>
          </w:tcPr>
          <w:p>
            <w:pPr>
              <w:spacing w:after="40"/>
            </w:pPr>
            <w:r>
              <w:rPr>
                <w:b w:val="false"/>
                <w:bCs w:val="false"/>
                <w:sz w:val="19"/>
                <w:szCs w:val="19"/>
              </w:rPr>
              <w:t xml:space="preserve">Beta learning scope (FR19)</w:t>
            </w:r>
          </w:p>
        </w:tc>
        <w:tc>
          <w:tcPr>
            <w:tcW w:type="dxa" w:w="2530"/>
            <w:tcMar>
              <w:top w:type="dxa" w:w="90"/>
              <w:left w:type="dxa" w:w="130"/>
              <w:bottom w:type="dxa" w:w="90"/>
              <w:right w:type="dxa" w:w="130"/>
            </w:tcMar>
          </w:tcPr>
          <w:p>
            <w:pPr>
              <w:spacing w:after="40"/>
            </w:pPr>
            <w:r>
              <w:rPr>
                <w:b w:val="false"/>
                <w:bCs w:val="false"/>
                <w:sz w:val="19"/>
                <w:szCs w:val="19"/>
              </w:rPr>
              <w:t xml:space="preserve">AT01–04, 06–09, 13, 16, 17, 18</w:t>
            </w:r>
          </w:p>
        </w:tc>
      </w:tr>
      <w:tr>
        <w:trPr>
          <w:tblHeader w:val="off"/>
        </w:trPr>
        <w:tc>
          <w:tcPr>
            <w:tcW w:type="dxa" w:w="900"/>
            <w:tcMar>
              <w:top w:type="dxa" w:w="90"/>
              <w:left w:type="dxa" w:w="130"/>
              <w:bottom w:type="dxa" w:w="90"/>
              <w:right w:type="dxa" w:w="130"/>
            </w:tcMar>
          </w:tcPr>
          <w:p>
            <w:pPr>
              <w:spacing w:after="40"/>
            </w:pPr>
            <w:r>
              <w:rPr>
                <w:b/>
                <w:bCs/>
                <w:sz w:val="19"/>
                <w:szCs w:val="19"/>
              </w:rPr>
              <w:t xml:space="preserve">2</w:t>
            </w:r>
          </w:p>
        </w:tc>
        <w:tc>
          <w:tcPr>
            <w:tcW w:type="dxa" w:w="3400"/>
            <w:tcMar>
              <w:top w:type="dxa" w:w="90"/>
              <w:left w:type="dxa" w:w="130"/>
              <w:bottom w:type="dxa" w:w="90"/>
              <w:right w:type="dxa" w:w="130"/>
            </w:tcMar>
          </w:tcPr>
          <w:p>
            <w:pPr>
              <w:spacing w:after="40"/>
            </w:pPr>
            <w:r>
              <w:rPr>
                <w:b w:val="false"/>
                <w:bCs w:val="false"/>
                <w:sz w:val="19"/>
                <w:szCs w:val="19"/>
              </w:rPr>
              <w:t xml:space="preserve">Reviewed content: versioned packs, deterministic branches, accessible alternatives</w:t>
            </w:r>
          </w:p>
        </w:tc>
        <w:tc>
          <w:tcPr>
            <w:tcW w:type="dxa" w:w="2530"/>
            <w:tcMar>
              <w:top w:type="dxa" w:w="90"/>
              <w:left w:type="dxa" w:w="130"/>
              <w:bottom w:type="dxa" w:w="90"/>
              <w:right w:type="dxa" w:w="130"/>
            </w:tcMar>
          </w:tcPr>
          <w:p>
            <w:pPr>
              <w:spacing w:after="40"/>
            </w:pPr>
            <w:r>
              <w:rPr>
                <w:b w:val="false"/>
                <w:bCs w:val="false"/>
                <w:sz w:val="19"/>
                <w:szCs w:val="19"/>
              </w:rPr>
              <w:t xml:space="preserve">Subset decided (doors 2, 4, 7). Production schedule, following the one-scenario costing in §6. Per-scenario Notice placement (FR20)</w:t>
            </w:r>
          </w:p>
        </w:tc>
        <w:tc>
          <w:tcPr>
            <w:tcW w:type="dxa" w:w="2530"/>
            <w:tcMar>
              <w:top w:type="dxa" w:w="90"/>
              <w:left w:type="dxa" w:w="130"/>
              <w:bottom w:type="dxa" w:w="90"/>
              <w:right w:type="dxa" w:w="130"/>
            </w:tcMar>
          </w:tcPr>
          <w:p>
            <w:pPr>
              <w:spacing w:after="40"/>
            </w:pPr>
            <w:r>
              <w:rPr>
                <w:b w:val="false"/>
                <w:bCs w:val="false"/>
                <w:sz w:val="19"/>
                <w:szCs w:val="19"/>
              </w:rPr>
              <w:t xml:space="preserve">AT02, 06–08, 14, 15, 17, 18</w:t>
            </w:r>
          </w:p>
        </w:tc>
      </w:tr>
      <w:tr>
        <w:trPr>
          <w:tblHeader w:val="off"/>
        </w:trPr>
        <w:tc>
          <w:tcPr>
            <w:tcW w:type="dxa" w:w="900"/>
            <w:tcMar>
              <w:top w:type="dxa" w:w="90"/>
              <w:left w:type="dxa" w:w="130"/>
              <w:bottom w:type="dxa" w:w="90"/>
              <w:right w:type="dxa" w:w="130"/>
            </w:tcMar>
          </w:tcPr>
          <w:p>
            <w:pPr>
              <w:spacing w:after="40"/>
            </w:pPr>
            <w:r>
              <w:rPr>
                <w:b/>
                <w:bCs/>
                <w:sz w:val="19"/>
                <w:szCs w:val="19"/>
              </w:rPr>
              <w:t xml:space="preserve">3</w:t>
            </w:r>
          </w:p>
        </w:tc>
        <w:tc>
          <w:tcPr>
            <w:tcW w:type="dxa" w:w="3400"/>
            <w:tcMar>
              <w:top w:type="dxa" w:w="90"/>
              <w:left w:type="dxa" w:w="130"/>
              <w:bottom w:type="dxa" w:w="90"/>
              <w:right w:type="dxa" w:w="130"/>
            </w:tcMar>
          </w:tcPr>
          <w:p>
            <w:pPr>
              <w:spacing w:after="40"/>
            </w:pPr>
            <w:r>
              <w:rPr>
                <w:b w:val="false"/>
                <w:bCs w:val="false"/>
                <w:sz w:val="19"/>
                <w:szCs w:val="19"/>
              </w:rPr>
              <w:t xml:space="preserve">Local records: explicit save, resume, revisions, selected export, confirmed deletion</w:t>
            </w:r>
          </w:p>
        </w:tc>
        <w:tc>
          <w:tcPr>
            <w:tcW w:type="dxa" w:w="2530"/>
            <w:tcMar>
              <w:top w:type="dxa" w:w="90"/>
              <w:left w:type="dxa" w:w="130"/>
              <w:bottom w:type="dxa" w:w="90"/>
              <w:right w:type="dxa" w:w="130"/>
            </w:tcMar>
          </w:tcPr>
          <w:p>
            <w:pPr>
              <w:spacing w:after="40"/>
            </w:pPr>
            <w:r>
              <w:rPr>
                <w:b w:val="false"/>
                <w:bCs w:val="false"/>
                <w:sz w:val="19"/>
                <w:szCs w:val="19"/>
              </w:rPr>
              <w:t xml:space="preserve">Storage technology, eviction and deletion verification method</w:t>
            </w:r>
          </w:p>
        </w:tc>
        <w:tc>
          <w:tcPr>
            <w:tcW w:type="dxa" w:w="2530"/>
            <w:tcMar>
              <w:top w:type="dxa" w:w="90"/>
              <w:left w:type="dxa" w:w="130"/>
              <w:bottom w:type="dxa" w:w="90"/>
              <w:right w:type="dxa" w:w="130"/>
            </w:tcMar>
          </w:tcPr>
          <w:p>
            <w:pPr>
              <w:spacing w:after="40"/>
            </w:pPr>
            <w:r>
              <w:rPr>
                <w:b w:val="false"/>
                <w:bCs w:val="false"/>
                <w:sz w:val="19"/>
                <w:szCs w:val="19"/>
              </w:rPr>
              <w:t xml:space="preserve">AT10, 11, 18</w:t>
            </w:r>
          </w:p>
        </w:tc>
      </w:tr>
      <w:tr>
        <w:trPr>
          <w:tblHeader w:val="off"/>
        </w:trPr>
        <w:tc>
          <w:tcPr>
            <w:tcW w:type="dxa" w:w="900"/>
            <w:tcMar>
              <w:top w:type="dxa" w:w="90"/>
              <w:left w:type="dxa" w:w="130"/>
              <w:bottom w:type="dxa" w:w="90"/>
              <w:right w:type="dxa" w:w="130"/>
            </w:tcMar>
          </w:tcPr>
          <w:p>
            <w:pPr>
              <w:spacing w:after="40"/>
            </w:pPr>
            <w:r>
              <w:rPr>
                <w:b/>
                <w:bCs/>
                <w:sz w:val="19"/>
                <w:szCs w:val="19"/>
              </w:rPr>
              <w:t xml:space="preserve">4</w:t>
            </w:r>
          </w:p>
        </w:tc>
        <w:tc>
          <w:tcPr>
            <w:tcW w:type="dxa" w:w="3400"/>
            <w:tcMar>
              <w:top w:type="dxa" w:w="90"/>
              <w:left w:type="dxa" w:w="130"/>
              <w:bottom w:type="dxa" w:w="90"/>
              <w:right w:type="dxa" w:w="130"/>
            </w:tcMar>
          </w:tcPr>
          <w:p>
            <w:pPr>
              <w:spacing w:after="40"/>
            </w:pPr>
            <w:r>
              <w:rPr>
                <w:b w:val="false"/>
                <w:bCs w:val="false"/>
                <w:sz w:val="19"/>
                <w:szCs w:val="19"/>
              </w:rPr>
              <w:t xml:space="preserve">Offline and operations: cache and media policy, install and update, minimal logs, report route</w:t>
            </w:r>
          </w:p>
        </w:tc>
        <w:tc>
          <w:tcPr>
            <w:tcW w:type="dxa" w:w="2530"/>
            <w:tcMar>
              <w:top w:type="dxa" w:w="90"/>
              <w:left w:type="dxa" w:w="130"/>
              <w:bottom w:type="dxa" w:w="90"/>
              <w:right w:type="dxa" w:w="130"/>
            </w:tcMar>
          </w:tcPr>
          <w:p>
            <w:pPr>
              <w:spacing w:after="40"/>
            </w:pPr>
            <w:r>
              <w:rPr>
                <w:b w:val="false"/>
                <w:bCs w:val="false"/>
                <w:sz w:val="19"/>
                <w:szCs w:val="19"/>
              </w:rPr>
              <w:t xml:space="preserve">Offline and media policy. Telemetry events and retention</w:t>
            </w:r>
          </w:p>
        </w:tc>
        <w:tc>
          <w:tcPr>
            <w:tcW w:type="dxa" w:w="2530"/>
            <w:tcMar>
              <w:top w:type="dxa" w:w="90"/>
              <w:left w:type="dxa" w:w="130"/>
              <w:bottom w:type="dxa" w:w="90"/>
              <w:right w:type="dxa" w:w="130"/>
            </w:tcMar>
          </w:tcPr>
          <w:p>
            <w:pPr>
              <w:spacing w:after="40"/>
            </w:pPr>
            <w:r>
              <w:rPr>
                <w:b w:val="false"/>
                <w:bCs w:val="false"/>
                <w:sz w:val="19"/>
                <w:szCs w:val="19"/>
              </w:rPr>
              <w:t xml:space="preserve">AT05, 12, 15, 18</w:t>
            </w:r>
          </w:p>
        </w:tc>
      </w:tr>
      <w:tr>
        <w:trPr>
          <w:tblHeader w:val="off"/>
        </w:trPr>
        <w:tc>
          <w:tcPr>
            <w:tcW w:type="dxa" w:w="900"/>
            <w:tcMar>
              <w:top w:type="dxa" w:w="90"/>
              <w:left w:type="dxa" w:w="130"/>
              <w:bottom w:type="dxa" w:w="90"/>
              <w:right w:type="dxa" w:w="130"/>
            </w:tcMar>
          </w:tcPr>
          <w:p>
            <w:pPr>
              <w:spacing w:after="40"/>
            </w:pPr>
            <w:r>
              <w:rPr>
                <w:b/>
                <w:bCs/>
                <w:sz w:val="19"/>
                <w:szCs w:val="19"/>
              </w:rPr>
              <w:t xml:space="preserve">5</w:t>
            </w:r>
          </w:p>
        </w:tc>
        <w:tc>
          <w:tcPr>
            <w:tcW w:type="dxa" w:w="3400"/>
            <w:tcMar>
              <w:top w:type="dxa" w:w="90"/>
              <w:left w:type="dxa" w:w="130"/>
              <w:bottom w:type="dxa" w:w="90"/>
              <w:right w:type="dxa" w:w="130"/>
            </w:tcMar>
          </w:tcPr>
          <w:p>
            <w:pPr>
              <w:spacing w:after="40"/>
            </w:pPr>
            <w:r>
              <w:rPr>
                <w:b w:val="false"/>
                <w:bCs w:val="false"/>
                <w:sz w:val="19"/>
                <w:szCs w:val="19"/>
              </w:rPr>
              <w:t xml:space="preserve">Invited beta gate</w:t>
            </w:r>
          </w:p>
        </w:tc>
        <w:tc>
          <w:tcPr>
            <w:tcW w:type="dxa" w:w="2530"/>
            <w:tcMar>
              <w:top w:type="dxa" w:w="90"/>
              <w:left w:type="dxa" w:w="130"/>
              <w:bottom w:type="dxa" w:w="90"/>
              <w:right w:type="dxa" w:w="130"/>
            </w:tcMar>
          </w:tcPr>
          <w:p>
            <w:pPr>
              <w:spacing w:after="40"/>
            </w:pPr>
            <w:r>
              <w:rPr>
                <w:b w:val="false"/>
                <w:bCs w:val="false"/>
                <w:sz w:val="19"/>
                <w:szCs w:val="19"/>
              </w:rPr>
              <w:t xml:space="preserve">Recruitment policy. Any external learning (FR19 form two or three)</w:t>
            </w:r>
          </w:p>
        </w:tc>
        <w:tc>
          <w:tcPr>
            <w:tcW w:type="dxa" w:w="2530"/>
            <w:tcMar>
              <w:top w:type="dxa" w:w="90"/>
              <w:left w:type="dxa" w:w="130"/>
              <w:bottom w:type="dxa" w:w="90"/>
              <w:right w:type="dxa" w:w="130"/>
            </w:tcMar>
          </w:tcPr>
          <w:p>
            <w:pPr>
              <w:spacing w:after="40"/>
            </w:pPr>
            <w:r>
              <w:rPr>
                <w:b w:val="false"/>
                <w:bCs w:val="false"/>
                <w:sz w:val="19"/>
                <w:szCs w:val="19"/>
              </w:rPr>
              <w:t xml:space="preserve">AT01–18 complete</w:t>
            </w:r>
          </w:p>
        </w:tc>
      </w:tr>
    </w:tbl>
    <w:p>
      <w:pPr>
        <w:spacing w:after="140"/>
      </w:pPr>
      <w:r>
        <w:t xml:space="preserve">No phase begins solely because it appears here. Implementation and deployment require separate authorization. Each gate needs recorded evidence and a named reviewer, and a failing gate blocks invited-beta release.</w:t>
      </w:r>
    </w:p>
    <w:p>
      <w:pPr>
        <w:pStyle w:val="Heading1"/>
        <w:spacing w:after="160" w:before="320"/>
      </w:pPr>
      <w:r>
        <w:t xml:space="preserve">9. Open decisions and implementation choices</w:t>
      </w:r>
    </w:p>
    <w:p>
      <w:pPr>
        <w:spacing w:after="140"/>
      </w:pPr>
      <w:r>
        <w:t xml:space="preserve">The eight items of v0.2 section 9 are unchanged and remain open. This revision adds the gate each one blocks and, where a new requirement governs it, the requirement reference. No item is resolved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4500"/>
        <w:gridCol w:w="1200"/>
        <w:gridCol w:w="3200"/>
      </w:tblGrid>
      <w:tr>
        <w:trPr>
          <w:tblHeader/>
        </w:trPr>
        <w:tc>
          <w:tcPr>
            <w:tcW w:type="dxa" w:w="460"/>
            <w:shd w:fill="EDEFEC" w:val="clear"/>
            <w:tcMar>
              <w:top w:type="dxa" w:w="90"/>
              <w:left w:type="dxa" w:w="130"/>
              <w:bottom w:type="dxa" w:w="90"/>
              <w:right w:type="dxa" w:w="130"/>
            </w:tcMar>
          </w:tcPr>
          <w:p>
            <w:pPr>
              <w:spacing w:after="40"/>
            </w:pPr>
            <w:r>
              <w:rPr>
                <w:b/>
                <w:bCs/>
                <w:sz w:val="19"/>
                <w:szCs w:val="19"/>
              </w:rPr>
              <w:t xml:space="preserve">#</w:t>
            </w:r>
          </w:p>
        </w:tc>
        <w:tc>
          <w:tcPr>
            <w:tcW w:type="dxa" w:w="4500"/>
            <w:shd w:fill="EDEFEC" w:val="clear"/>
            <w:tcMar>
              <w:top w:type="dxa" w:w="90"/>
              <w:left w:type="dxa" w:w="130"/>
              <w:bottom w:type="dxa" w:w="90"/>
              <w:right w:type="dxa" w:w="130"/>
            </w:tcMar>
          </w:tcPr>
          <w:p>
            <w:pPr>
              <w:spacing w:after="40"/>
            </w:pPr>
            <w:r>
              <w:rPr>
                <w:b/>
                <w:bCs/>
                <w:sz w:val="19"/>
                <w:szCs w:val="19"/>
              </w:rPr>
              <w:t xml:space="preserve">Open decision</w:t>
            </w:r>
          </w:p>
        </w:tc>
        <w:tc>
          <w:tcPr>
            <w:tcW w:type="dxa" w:w="1200"/>
            <w:shd w:fill="EDEFEC" w:val="clear"/>
            <w:tcMar>
              <w:top w:type="dxa" w:w="90"/>
              <w:left w:type="dxa" w:w="130"/>
              <w:bottom w:type="dxa" w:w="90"/>
              <w:right w:type="dxa" w:w="130"/>
            </w:tcMar>
          </w:tcPr>
          <w:p>
            <w:pPr>
              <w:spacing w:after="40"/>
            </w:pPr>
            <w:r>
              <w:rPr>
                <w:b/>
                <w:bCs/>
                <w:sz w:val="19"/>
                <w:szCs w:val="19"/>
              </w:rPr>
              <w:t xml:space="preserve">Blocks</w:t>
            </w:r>
          </w:p>
        </w:tc>
        <w:tc>
          <w:tcPr>
            <w:tcW w:type="dxa" w:w="3200"/>
            <w:shd w:fill="EDEFEC" w:val="clear"/>
            <w:tcMar>
              <w:top w:type="dxa" w:w="90"/>
              <w:left w:type="dxa" w:w="130"/>
              <w:bottom w:type="dxa" w:w="90"/>
              <w:right w:type="dxa" w:w="130"/>
            </w:tcMar>
          </w:tcPr>
          <w:p>
            <w:pPr>
              <w:spacing w:after="40"/>
            </w:pPr>
            <w:r>
              <w:rPr>
                <w:b/>
                <w:bCs/>
                <w:sz w:val="19"/>
                <w:szCs w:val="19"/>
              </w:rPr>
              <w:t xml:space="preserve">Governed by</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1</w:t>
            </w:r>
          </w:p>
        </w:tc>
        <w:tc>
          <w:tcPr>
            <w:tcW w:type="dxa" w:w="4500"/>
            <w:tcMar>
              <w:top w:type="dxa" w:w="90"/>
              <w:left w:type="dxa" w:w="130"/>
              <w:bottom w:type="dxa" w:w="90"/>
              <w:right w:type="dxa" w:w="130"/>
            </w:tcMar>
          </w:tcPr>
          <w:p>
            <w:pPr>
              <w:spacing w:after="40"/>
            </w:pPr>
            <w:r>
              <w:rPr>
                <w:b w:val="false"/>
                <w:bCs w:val="false"/>
                <w:sz w:val="19"/>
                <w:szCs w:val="19"/>
              </w:rPr>
              <w:t xml:space="preserve">Initial scenario subset and production schedule for the nine provisional doors</w:t>
            </w:r>
          </w:p>
        </w:tc>
        <w:tc>
          <w:tcPr>
            <w:tcW w:type="dxa" w:w="1200"/>
            <w:tcMar>
              <w:top w:type="dxa" w:w="90"/>
              <w:left w:type="dxa" w:w="130"/>
              <w:bottom w:type="dxa" w:w="90"/>
              <w:right w:type="dxa" w:w="130"/>
            </w:tcMar>
          </w:tcPr>
          <w:p>
            <w:pPr>
              <w:spacing w:after="40"/>
            </w:pPr>
            <w:r>
              <w:rPr>
                <w:b w:val="false"/>
                <w:bCs w:val="false"/>
                <w:sz w:val="19"/>
                <w:szCs w:val="19"/>
              </w:rPr>
              <w:t xml:space="preserve">Gate 2</w:t>
            </w:r>
          </w:p>
        </w:tc>
        <w:tc>
          <w:tcPr>
            <w:tcW w:type="dxa" w:w="3200"/>
            <w:tcMar>
              <w:top w:type="dxa" w:w="90"/>
              <w:left w:type="dxa" w:w="130"/>
              <w:bottom w:type="dxa" w:w="90"/>
              <w:right w:type="dxa" w:w="130"/>
            </w:tcMar>
          </w:tcPr>
          <w:p>
            <w:pPr>
              <w:spacing w:after="40"/>
            </w:pPr>
            <w:r>
              <w:rPr>
                <w:b w:val="false"/>
                <w:bCs w:val="false"/>
                <w:sz w:val="19"/>
                <w:szCs w:val="19"/>
              </w:rPr>
              <w:t xml:space="preserve">Subset DECIDED (see register). Schedule open; FR17; §6 one-scenario costing</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2</w:t>
            </w:r>
          </w:p>
        </w:tc>
        <w:tc>
          <w:tcPr>
            <w:tcW w:type="dxa" w:w="4500"/>
            <w:tcMar>
              <w:top w:type="dxa" w:w="90"/>
              <w:left w:type="dxa" w:w="130"/>
              <w:bottom w:type="dxa" w:w="90"/>
              <w:right w:type="dxa" w:w="130"/>
            </w:tcMar>
          </w:tcPr>
          <w:p>
            <w:pPr>
              <w:spacing w:after="40"/>
            </w:pPr>
            <w:r>
              <w:rPr>
                <w:b w:val="false"/>
                <w:bCs w:val="false"/>
                <w:sz w:val="19"/>
                <w:szCs w:val="19"/>
              </w:rPr>
              <w:t xml:space="preserve">Whether beta participants may invite others; manual versus product invitations</w:t>
            </w:r>
          </w:p>
        </w:tc>
        <w:tc>
          <w:tcPr>
            <w:tcW w:type="dxa" w:w="1200"/>
            <w:tcMar>
              <w:top w:type="dxa" w:w="90"/>
              <w:left w:type="dxa" w:w="130"/>
              <w:bottom w:type="dxa" w:w="90"/>
              <w:right w:type="dxa" w:w="130"/>
            </w:tcMar>
          </w:tcPr>
          <w:p>
            <w:pPr>
              <w:spacing w:after="40"/>
            </w:pPr>
            <w:r>
              <w:rPr>
                <w:b w:val="false"/>
                <w:bCs w:val="false"/>
                <w:sz w:val="19"/>
                <w:szCs w:val="19"/>
              </w:rPr>
              <w:t xml:space="preserve">Gate 5</w:t>
            </w:r>
          </w:p>
        </w:tc>
        <w:tc>
          <w:tcPr>
            <w:tcW w:type="dxa" w:w="3200"/>
            <w:tcMar>
              <w:top w:type="dxa" w:w="90"/>
              <w:left w:type="dxa" w:w="130"/>
              <w:bottom w:type="dxa" w:w="90"/>
              <w:right w:type="dxa" w:w="130"/>
            </w:tcMar>
          </w:tcPr>
          <w:p>
            <w:pPr>
              <w:spacing w:after="40"/>
            </w:pPr>
            <w:r>
              <w:rPr>
                <w:b w:val="false"/>
                <w:bCs w:val="false"/>
                <w:sz w:val="19"/>
                <w:szCs w:val="19"/>
              </w:rPr>
              <w:t xml:space="preserve">FR17</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3</w:t>
            </w:r>
          </w:p>
        </w:tc>
        <w:tc>
          <w:tcPr>
            <w:tcW w:type="dxa" w:w="4500"/>
            <w:tcMar>
              <w:top w:type="dxa" w:w="90"/>
              <w:left w:type="dxa" w:w="130"/>
              <w:bottom w:type="dxa" w:w="90"/>
              <w:right w:type="dxa" w:w="130"/>
            </w:tcMar>
          </w:tcPr>
          <w:p>
            <w:pPr>
              <w:spacing w:after="40"/>
            </w:pPr>
            <w:r>
              <w:rPr>
                <w:b w:val="false"/>
                <w:bCs w:val="false"/>
                <w:sz w:val="19"/>
                <w:szCs w:val="19"/>
              </w:rPr>
              <w:t xml:space="preserve">Phone and browser matrix; offline behaviour; media caching, bandwidth and data cost</w:t>
            </w:r>
          </w:p>
        </w:tc>
        <w:tc>
          <w:tcPr>
            <w:tcW w:type="dxa" w:w="1200"/>
            <w:tcMar>
              <w:top w:type="dxa" w:w="90"/>
              <w:left w:type="dxa" w:w="130"/>
              <w:bottom w:type="dxa" w:w="90"/>
              <w:right w:type="dxa" w:w="130"/>
            </w:tcMar>
          </w:tcPr>
          <w:p>
            <w:pPr>
              <w:spacing w:after="40"/>
            </w:pPr>
            <w:r>
              <w:rPr>
                <w:b w:val="false"/>
                <w:bCs w:val="false"/>
                <w:sz w:val="19"/>
                <w:szCs w:val="19"/>
              </w:rPr>
              <w:t xml:space="preserve">Gate 4</w:t>
            </w:r>
          </w:p>
        </w:tc>
        <w:tc>
          <w:tcPr>
            <w:tcW w:type="dxa" w:w="3200"/>
            <w:tcMar>
              <w:top w:type="dxa" w:w="90"/>
              <w:left w:type="dxa" w:w="130"/>
              <w:bottom w:type="dxa" w:w="90"/>
              <w:right w:type="dxa" w:w="130"/>
            </w:tcMar>
          </w:tcPr>
          <w:p>
            <w:pPr>
              <w:spacing w:after="40"/>
            </w:pPr>
            <w:r>
              <w:rPr>
                <w:b w:val="false"/>
                <w:bCs w:val="false"/>
                <w:sz w:val="19"/>
                <w:szCs w:val="19"/>
              </w:rPr>
              <w:t xml:space="preserve">FR17; §5 media precedence</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4</w:t>
            </w:r>
          </w:p>
        </w:tc>
        <w:tc>
          <w:tcPr>
            <w:tcW w:type="dxa" w:w="4500"/>
            <w:tcMar>
              <w:top w:type="dxa" w:w="90"/>
              <w:left w:type="dxa" w:w="130"/>
              <w:bottom w:type="dxa" w:w="90"/>
              <w:right w:type="dxa" w:w="130"/>
            </w:tcMar>
          </w:tcPr>
          <w:p>
            <w:pPr>
              <w:spacing w:after="40"/>
            </w:pPr>
            <w:r>
              <w:rPr>
                <w:b w:val="false"/>
                <w:bCs w:val="false"/>
                <w:sz w:val="19"/>
                <w:szCs w:val="19"/>
              </w:rPr>
              <w:t xml:space="preserve">Local storage technology, eviction behaviour and deletion verification method</w:t>
            </w:r>
          </w:p>
        </w:tc>
        <w:tc>
          <w:tcPr>
            <w:tcW w:type="dxa" w:w="1200"/>
            <w:tcMar>
              <w:top w:type="dxa" w:w="90"/>
              <w:left w:type="dxa" w:w="130"/>
              <w:bottom w:type="dxa" w:w="90"/>
              <w:right w:type="dxa" w:w="130"/>
            </w:tcMar>
          </w:tcPr>
          <w:p>
            <w:pPr>
              <w:spacing w:after="40"/>
            </w:pPr>
            <w:r>
              <w:rPr>
                <w:b w:val="false"/>
                <w:bCs w:val="false"/>
                <w:sz w:val="19"/>
                <w:szCs w:val="19"/>
              </w:rPr>
              <w:t xml:space="preserve">Gate 3</w:t>
            </w:r>
          </w:p>
        </w:tc>
        <w:tc>
          <w:tcPr>
            <w:tcW w:type="dxa" w:w="3200"/>
            <w:tcMar>
              <w:top w:type="dxa" w:w="90"/>
              <w:left w:type="dxa" w:w="130"/>
              <w:bottom w:type="dxa" w:w="90"/>
              <w:right w:type="dxa" w:w="130"/>
            </w:tcMar>
          </w:tcPr>
          <w:p>
            <w:pPr>
              <w:spacing w:after="40"/>
            </w:pPr>
            <w:r>
              <w:rPr>
                <w:b w:val="false"/>
                <w:bCs w:val="false"/>
                <w:sz w:val="19"/>
                <w:szCs w:val="19"/>
              </w:rPr>
              <w:t xml:space="preserve">FR17; FR18</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5</w:t>
            </w:r>
          </w:p>
        </w:tc>
        <w:tc>
          <w:tcPr>
            <w:tcW w:type="dxa" w:w="4500"/>
            <w:tcMar>
              <w:top w:type="dxa" w:w="90"/>
              <w:left w:type="dxa" w:w="130"/>
              <w:bottom w:type="dxa" w:w="90"/>
              <w:right w:type="dxa" w:w="130"/>
            </w:tcMar>
          </w:tcPr>
          <w:p>
            <w:pPr>
              <w:spacing w:after="40"/>
            </w:pPr>
            <w:r>
              <w:rPr>
                <w:b w:val="false"/>
                <w:bCs w:val="false"/>
                <w:sz w:val="19"/>
                <w:szCs w:val="19"/>
              </w:rPr>
              <w:t xml:space="preserve">Exact telemetry events and retention, subject to the essential-only rule</w:t>
            </w:r>
          </w:p>
        </w:tc>
        <w:tc>
          <w:tcPr>
            <w:tcW w:type="dxa" w:w="1200"/>
            <w:tcMar>
              <w:top w:type="dxa" w:w="90"/>
              <w:left w:type="dxa" w:w="130"/>
              <w:bottom w:type="dxa" w:w="90"/>
              <w:right w:type="dxa" w:w="130"/>
            </w:tcMar>
          </w:tcPr>
          <w:p>
            <w:pPr>
              <w:spacing w:after="40"/>
            </w:pPr>
            <w:r>
              <w:rPr>
                <w:b w:val="false"/>
                <w:bCs w:val="false"/>
                <w:sz w:val="19"/>
                <w:szCs w:val="19"/>
              </w:rPr>
              <w:t xml:space="preserve">Gate 4</w:t>
            </w:r>
          </w:p>
        </w:tc>
        <w:tc>
          <w:tcPr>
            <w:tcW w:type="dxa" w:w="3200"/>
            <w:tcMar>
              <w:top w:type="dxa" w:w="90"/>
              <w:left w:type="dxa" w:w="130"/>
              <w:bottom w:type="dxa" w:w="90"/>
              <w:right w:type="dxa" w:w="130"/>
            </w:tcMar>
          </w:tcPr>
          <w:p>
            <w:pPr>
              <w:spacing w:after="40"/>
            </w:pPr>
            <w:r>
              <w:rPr>
                <w:b w:val="false"/>
                <w:bCs w:val="false"/>
                <w:sz w:val="19"/>
                <w:szCs w:val="19"/>
              </w:rPr>
              <w:t xml:space="preserve">FR17; FR19</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6</w:t>
            </w:r>
          </w:p>
        </w:tc>
        <w:tc>
          <w:tcPr>
            <w:tcW w:type="dxa" w:w="4500"/>
            <w:tcMar>
              <w:top w:type="dxa" w:w="90"/>
              <w:left w:type="dxa" w:w="130"/>
              <w:bottom w:type="dxa" w:w="90"/>
              <w:right w:type="dxa" w:w="130"/>
            </w:tcMar>
          </w:tcPr>
          <w:p>
            <w:pPr>
              <w:spacing w:after="40"/>
            </w:pPr>
            <w:r>
              <w:rPr>
                <w:b w:val="false"/>
                <w:bCs w:val="false"/>
                <w:sz w:val="19"/>
                <w:szCs w:val="19"/>
              </w:rPr>
              <w:t xml:space="preserve">How users may report content without sending journal text; who reviews and responds</w:t>
            </w:r>
          </w:p>
        </w:tc>
        <w:tc>
          <w:tcPr>
            <w:tcW w:type="dxa" w:w="1200"/>
            <w:tcMar>
              <w:top w:type="dxa" w:w="90"/>
              <w:left w:type="dxa" w:w="130"/>
              <w:bottom w:type="dxa" w:w="90"/>
              <w:right w:type="dxa" w:w="130"/>
            </w:tcMar>
          </w:tcPr>
          <w:p>
            <w:pPr>
              <w:spacing w:after="40"/>
            </w:pPr>
            <w:r>
              <w:rPr>
                <w:b w:val="false"/>
                <w:bCs w:val="false"/>
                <w:sz w:val="19"/>
                <w:szCs w:val="19"/>
              </w:rPr>
              <w:t xml:space="preserve">Gate 0</w:t>
            </w:r>
          </w:p>
        </w:tc>
        <w:tc>
          <w:tcPr>
            <w:tcW w:type="dxa" w:w="3200"/>
            <w:tcMar>
              <w:top w:type="dxa" w:w="90"/>
              <w:left w:type="dxa" w:w="130"/>
              <w:bottom w:type="dxa" w:w="90"/>
              <w:right w:type="dxa" w:w="130"/>
            </w:tcMar>
          </w:tcPr>
          <w:p>
            <w:pPr>
              <w:spacing w:after="40"/>
            </w:pPr>
            <w:r>
              <w:rPr>
                <w:b w:val="false"/>
                <w:bCs w:val="false"/>
                <w:sz w:val="19"/>
                <w:szCs w:val="19"/>
              </w:rPr>
              <w:t xml:space="preserve">FR16 (fallback now specified)</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7</w:t>
            </w:r>
          </w:p>
        </w:tc>
        <w:tc>
          <w:tcPr>
            <w:tcW w:type="dxa" w:w="4500"/>
            <w:tcMar>
              <w:top w:type="dxa" w:w="90"/>
              <w:left w:type="dxa" w:w="130"/>
              <w:bottom w:type="dxa" w:w="90"/>
              <w:right w:type="dxa" w:w="130"/>
            </w:tcMar>
          </w:tcPr>
          <w:p>
            <w:pPr>
              <w:spacing w:after="40"/>
            </w:pPr>
            <w:r>
              <w:rPr>
                <w:b w:val="false"/>
                <w:bCs w:val="false"/>
                <w:sz w:val="19"/>
                <w:szCs w:val="19"/>
              </w:rPr>
              <w:t xml:space="preserve">Whether any external learning is appropriate during beta</w:t>
            </w:r>
          </w:p>
        </w:tc>
        <w:tc>
          <w:tcPr>
            <w:tcW w:type="dxa" w:w="1200"/>
            <w:tcMar>
              <w:top w:type="dxa" w:w="90"/>
              <w:left w:type="dxa" w:w="130"/>
              <w:bottom w:type="dxa" w:w="90"/>
              <w:right w:type="dxa" w:w="130"/>
            </w:tcMar>
          </w:tcPr>
          <w:p>
            <w:pPr>
              <w:spacing w:after="40"/>
            </w:pPr>
            <w:r>
              <w:rPr>
                <w:b w:val="false"/>
                <w:bCs w:val="false"/>
                <w:sz w:val="19"/>
                <w:szCs w:val="19"/>
              </w:rPr>
              <w:t xml:space="preserve">Gate 1</w:t>
            </w:r>
          </w:p>
        </w:tc>
        <w:tc>
          <w:tcPr>
            <w:tcW w:type="dxa" w:w="3200"/>
            <w:tcMar>
              <w:top w:type="dxa" w:w="90"/>
              <w:left w:type="dxa" w:w="130"/>
              <w:bottom w:type="dxa" w:w="90"/>
              <w:right w:type="dxa" w:w="130"/>
            </w:tcMar>
          </w:tcPr>
          <w:p>
            <w:pPr>
              <w:spacing w:after="40"/>
            </w:pPr>
            <w:r>
              <w:rPr>
                <w:b w:val="false"/>
                <w:bCs w:val="false"/>
                <w:sz w:val="19"/>
                <w:szCs w:val="19"/>
              </w:rPr>
              <w:t xml:space="preserve">FR19</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8</w:t>
            </w:r>
          </w:p>
        </w:tc>
        <w:tc>
          <w:tcPr>
            <w:tcW w:type="dxa" w:w="4500"/>
            <w:tcMar>
              <w:top w:type="dxa" w:w="90"/>
              <w:left w:type="dxa" w:w="130"/>
              <w:bottom w:type="dxa" w:w="90"/>
              <w:right w:type="dxa" w:w="130"/>
            </w:tcMar>
          </w:tcPr>
          <w:p>
            <w:pPr>
              <w:spacing w:after="40"/>
            </w:pPr>
            <w:r>
              <w:rPr>
                <w:b w:val="false"/>
                <w:bCs w:val="false"/>
                <w:sz w:val="19"/>
                <w:szCs w:val="19"/>
              </w:rPr>
              <w:t xml:space="preserve">Future voice-first, AI, group, multilingual shared inquiry and research contribution</w:t>
            </w:r>
          </w:p>
        </w:tc>
        <w:tc>
          <w:tcPr>
            <w:tcW w:type="dxa" w:w="1200"/>
            <w:tcMar>
              <w:top w:type="dxa" w:w="90"/>
              <w:left w:type="dxa" w:w="130"/>
              <w:bottom w:type="dxa" w:w="90"/>
              <w:right w:type="dxa" w:w="130"/>
            </w:tcMar>
          </w:tcPr>
          <w:p>
            <w:pPr>
              <w:spacing w:after="40"/>
            </w:pPr>
            <w:r>
              <w:rPr>
                <w:b w:val="false"/>
                <w:bCs w:val="false"/>
                <w:sz w:val="19"/>
                <w:szCs w:val="19"/>
              </w:rPr>
              <w:t xml:space="preserve">Out of beta</w:t>
            </w:r>
          </w:p>
        </w:tc>
        <w:tc>
          <w:tcPr>
            <w:tcW w:type="dxa" w:w="3200"/>
            <w:tcMar>
              <w:top w:type="dxa" w:w="90"/>
              <w:left w:type="dxa" w:w="130"/>
              <w:bottom w:type="dxa" w:w="90"/>
              <w:right w:type="dxa" w:w="130"/>
            </w:tcMar>
          </w:tcPr>
          <w:p>
            <w:pPr>
              <w:spacing w:after="40"/>
            </w:pPr>
            <w:r>
              <w:rPr>
                <w:b w:val="false"/>
                <w:bCs w:val="false"/>
                <w:sz w:val="19"/>
                <w:szCs w:val="19"/>
              </w:rPr>
              <w:t xml:space="preserve">FR18 for the schema question only; stated direction in §1 raises its priority</w:t>
            </w:r>
          </w:p>
        </w:tc>
      </w:tr>
    </w:tbl>
    <w:p>
      <w:pPr>
        <w:pStyle w:val="Heading2"/>
        <w:spacing w:after="120" w:before="240"/>
      </w:pPr>
      <w:r>
        <w:t xml:space="preserve">Decision register — first entries (new in v0.4)</w:t>
      </w:r>
    </w:p>
    <w:p>
      <w:pPr>
        <w:spacing w:after="140"/>
      </w:pPr>
      <w:r>
        <w:t xml:space="preserve">FR17 requires that each decision carry what was decided, who decided it, when, and on what evidence. These are the first entries. All four come from one source: Jake H. Davis, in #all-reflecting-minds, 23 October 2026, answering three questions put to him by email that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660"/>
        <w:gridCol w:w="1300"/>
        <w:gridCol w:w="2300"/>
      </w:tblGrid>
      <w:tr>
        <w:trPr>
          <w:tblHeader/>
        </w:trPr>
        <w:tc>
          <w:tcPr>
            <w:tcW w:type="dxa" w:w="600"/>
            <w:shd w:fill="EDEFEC" w:val="clear"/>
            <w:tcMar>
              <w:top w:type="dxa" w:w="90"/>
              <w:left w:type="dxa" w:w="130"/>
              <w:bottom w:type="dxa" w:w="90"/>
              <w:right w:type="dxa" w:w="130"/>
            </w:tcMar>
          </w:tcPr>
          <w:p>
            <w:pPr>
              <w:spacing w:after="40"/>
            </w:pPr>
            <w:r>
              <w:rPr>
                <w:b/>
                <w:bCs/>
                <w:sz w:val="19"/>
                <w:szCs w:val="19"/>
              </w:rPr>
              <w:t xml:space="preserve">#</w:t>
            </w:r>
          </w:p>
        </w:tc>
        <w:tc>
          <w:tcPr>
            <w:tcW w:type="dxa" w:w="3500"/>
            <w:shd w:fill="EDEFEC" w:val="clear"/>
            <w:tcMar>
              <w:top w:type="dxa" w:w="90"/>
              <w:left w:type="dxa" w:w="130"/>
              <w:bottom w:type="dxa" w:w="90"/>
              <w:right w:type="dxa" w:w="130"/>
            </w:tcMar>
          </w:tcPr>
          <w:p>
            <w:pPr>
              <w:spacing w:after="40"/>
            </w:pPr>
            <w:r>
              <w:rPr>
                <w:b/>
                <w:bCs/>
                <w:sz w:val="19"/>
                <w:szCs w:val="19"/>
              </w:rPr>
              <w:t xml:space="preserve">Decision</w:t>
            </w:r>
          </w:p>
        </w:tc>
        <w:tc>
          <w:tcPr>
            <w:tcW w:type="dxa" w:w="1660"/>
            <w:shd w:fill="EDEFEC" w:val="clear"/>
            <w:tcMar>
              <w:top w:type="dxa" w:w="90"/>
              <w:left w:type="dxa" w:w="130"/>
              <w:bottom w:type="dxa" w:w="90"/>
              <w:right w:type="dxa" w:w="130"/>
            </w:tcMar>
          </w:tcPr>
          <w:p>
            <w:pPr>
              <w:spacing w:after="40"/>
            </w:pPr>
            <w:r>
              <w:rPr>
                <w:b/>
                <w:bCs/>
                <w:sz w:val="19"/>
                <w:szCs w:val="19"/>
              </w:rPr>
              <w:t xml:space="preserve">Decided by</w:t>
            </w:r>
          </w:p>
        </w:tc>
        <w:tc>
          <w:tcPr>
            <w:tcW w:type="dxa" w:w="1300"/>
            <w:shd w:fill="EDEFEC" w:val="clear"/>
            <w:tcMar>
              <w:top w:type="dxa" w:w="90"/>
              <w:left w:type="dxa" w:w="130"/>
              <w:bottom w:type="dxa" w:w="90"/>
              <w:right w:type="dxa" w:w="130"/>
            </w:tcMar>
          </w:tcPr>
          <w:p>
            <w:pPr>
              <w:spacing w:after="40"/>
            </w:pPr>
            <w:r>
              <w:rPr>
                <w:b/>
                <w:bCs/>
                <w:sz w:val="19"/>
                <w:szCs w:val="19"/>
              </w:rPr>
              <w:t xml:space="preserve">Date</w:t>
            </w:r>
          </w:p>
        </w:tc>
        <w:tc>
          <w:tcPr>
            <w:tcW w:type="dxa" w:w="2300"/>
            <w:shd w:fill="EDEFEC" w:val="clear"/>
            <w:tcMar>
              <w:top w:type="dxa" w:w="90"/>
              <w:left w:type="dxa" w:w="130"/>
              <w:bottom w:type="dxa" w:w="90"/>
              <w:right w:type="dxa" w:w="130"/>
            </w:tcMar>
          </w:tcPr>
          <w:p>
            <w:pPr>
              <w:spacing w:after="40"/>
            </w:pPr>
            <w:r>
              <w:rPr>
                <w:b/>
                <w:bCs/>
                <w:sz w:val="19"/>
                <w:szCs w:val="19"/>
              </w:rPr>
              <w:t xml:space="preserve">Evidence</w:t>
            </w:r>
          </w:p>
        </w:tc>
      </w:tr>
      <w:tr>
        <w:trPr>
          <w:tblHeader w:val="off"/>
        </w:trPr>
        <w:tc>
          <w:tcPr>
            <w:tcW w:type="dxa" w:w="600"/>
            <w:tcMar>
              <w:top w:type="dxa" w:w="90"/>
              <w:left w:type="dxa" w:w="130"/>
              <w:bottom w:type="dxa" w:w="90"/>
              <w:right w:type="dxa" w:w="130"/>
            </w:tcMar>
          </w:tcPr>
          <w:p>
            <w:pPr>
              <w:spacing w:after="40"/>
            </w:pPr>
            <w:r>
              <w:rPr>
                <w:b/>
                <w:bCs/>
                <w:sz w:val="19"/>
                <w:szCs w:val="19"/>
              </w:rPr>
              <w:t xml:space="preserve">R1</w:t>
            </w:r>
          </w:p>
        </w:tc>
        <w:tc>
          <w:tcPr>
            <w:tcW w:type="dxa" w:w="3500"/>
            <w:tcMar>
              <w:top w:type="dxa" w:w="90"/>
              <w:left w:type="dxa" w:w="130"/>
              <w:bottom w:type="dxa" w:w="90"/>
              <w:right w:type="dxa" w:w="130"/>
            </w:tcMar>
          </w:tcPr>
          <w:p>
            <w:pPr>
              <w:spacing w:after="40"/>
            </w:pPr>
            <w:r>
              <w:rPr>
                <w:b w:val="false"/>
                <w:bCs w:val="false"/>
                <w:sz w:val="19"/>
                <w:szCs w:val="19"/>
              </w:rPr>
              <w:t xml:space="preserve">Initial scenario subset: doors 2 (Seeing things differently), 4 (Divided group), 7 (Values in tension). Production schedule not decided.</w:t>
            </w:r>
          </w:p>
        </w:tc>
        <w:tc>
          <w:tcPr>
            <w:tcW w:type="dxa" w:w="1660"/>
            <w:tcMar>
              <w:top w:type="dxa" w:w="90"/>
              <w:left w:type="dxa" w:w="130"/>
              <w:bottom w:type="dxa" w:w="90"/>
              <w:right w:type="dxa" w:w="130"/>
            </w:tcMar>
          </w:tcPr>
          <w:p>
            <w:pPr>
              <w:spacing w:after="40"/>
            </w:pPr>
            <w:r>
              <w:rPr>
                <w:b w:val="false"/>
                <w:bCs w:val="false"/>
                <w:sz w:val="19"/>
                <w:szCs w:val="19"/>
              </w:rPr>
              <w:t xml:space="preserve">Jake H. Davis</w:t>
            </w:r>
          </w:p>
        </w:tc>
        <w:tc>
          <w:tcPr>
            <w:tcW w:type="dxa" w:w="1300"/>
            <w:tcMar>
              <w:top w:type="dxa" w:w="90"/>
              <w:left w:type="dxa" w:w="130"/>
              <w:bottom w:type="dxa" w:w="90"/>
              <w:right w:type="dxa" w:w="130"/>
            </w:tcMar>
          </w:tcPr>
          <w:p>
            <w:pPr>
              <w:spacing w:after="40"/>
            </w:pPr>
            <w:r>
              <w:rPr>
                <w:b w:val="false"/>
                <w:bCs w:val="false"/>
                <w:sz w:val="19"/>
                <w:szCs w:val="19"/>
              </w:rPr>
              <w:t xml:space="preserve">2026-10-23</w:t>
            </w:r>
          </w:p>
        </w:tc>
        <w:tc>
          <w:tcPr>
            <w:tcW w:type="dxa" w:w="2300"/>
            <w:tcMar>
              <w:top w:type="dxa" w:w="90"/>
              <w:left w:type="dxa" w:w="130"/>
              <w:bottom w:type="dxa" w:w="90"/>
              <w:right w:type="dxa" w:w="130"/>
            </w:tcMar>
          </w:tcPr>
          <w:p>
            <w:pPr>
              <w:spacing w:after="40"/>
            </w:pPr>
            <w:r>
              <w:rPr>
                <w:b w:val="false"/>
                <w:bCs w:val="false"/>
                <w:sz w:val="19"/>
                <w:szCs w:val="19"/>
              </w:rPr>
              <w:t xml:space="preserve">Slack, #all-reflecting-minds, 17:20 PDT</w:t>
            </w:r>
          </w:p>
        </w:tc>
      </w:tr>
      <w:tr>
        <w:trPr>
          <w:tblHeader w:val="off"/>
        </w:trPr>
        <w:tc>
          <w:tcPr>
            <w:tcW w:type="dxa" w:w="600"/>
            <w:tcMar>
              <w:top w:type="dxa" w:w="90"/>
              <w:left w:type="dxa" w:w="130"/>
              <w:bottom w:type="dxa" w:w="90"/>
              <w:right w:type="dxa" w:w="130"/>
            </w:tcMar>
          </w:tcPr>
          <w:p>
            <w:pPr>
              <w:spacing w:after="40"/>
            </w:pPr>
            <w:r>
              <w:rPr>
                <w:b/>
                <w:bCs/>
                <w:sz w:val="19"/>
                <w:szCs w:val="19"/>
              </w:rPr>
              <w:t xml:space="preserve">R2</w:t>
            </w:r>
          </w:p>
        </w:tc>
        <w:tc>
          <w:tcPr>
            <w:tcW w:type="dxa" w:w="3500"/>
            <w:tcMar>
              <w:top w:type="dxa" w:w="90"/>
              <w:left w:type="dxa" w:w="130"/>
              <w:bottom w:type="dxa" w:w="90"/>
              <w:right w:type="dxa" w:w="130"/>
            </w:tcMar>
          </w:tcPr>
          <w:p>
            <w:pPr>
              <w:spacing w:after="40"/>
            </w:pPr>
            <w:r>
              <w:rPr>
                <w:b w:val="false"/>
                <w:bCs w:val="false"/>
                <w:sz w:val="19"/>
                <w:szCs w:val="19"/>
              </w:rPr>
              <w:t xml:space="preserve">Taxonomy: defer the two dispositions (Self-understanding, Just curious). Rework Divided group as a scenario with real conflict between needs.</w:t>
            </w:r>
          </w:p>
        </w:tc>
        <w:tc>
          <w:tcPr>
            <w:tcW w:type="dxa" w:w="1660"/>
            <w:tcMar>
              <w:top w:type="dxa" w:w="90"/>
              <w:left w:type="dxa" w:w="130"/>
              <w:bottom w:type="dxa" w:w="90"/>
              <w:right w:type="dxa" w:w="130"/>
            </w:tcMar>
          </w:tcPr>
          <w:p>
            <w:pPr>
              <w:spacing w:after="40"/>
            </w:pPr>
            <w:r>
              <w:rPr>
                <w:b w:val="false"/>
                <w:bCs w:val="false"/>
                <w:sz w:val="19"/>
                <w:szCs w:val="19"/>
              </w:rPr>
              <w:t xml:space="preserve">Jake H. Davis</w:t>
            </w:r>
          </w:p>
        </w:tc>
        <w:tc>
          <w:tcPr>
            <w:tcW w:type="dxa" w:w="1300"/>
            <w:tcMar>
              <w:top w:type="dxa" w:w="90"/>
              <w:left w:type="dxa" w:w="130"/>
              <w:bottom w:type="dxa" w:w="90"/>
              <w:right w:type="dxa" w:w="130"/>
            </w:tcMar>
          </w:tcPr>
          <w:p>
            <w:pPr>
              <w:spacing w:after="40"/>
            </w:pPr>
            <w:r>
              <w:rPr>
                <w:b w:val="false"/>
                <w:bCs w:val="false"/>
                <w:sz w:val="19"/>
                <w:szCs w:val="19"/>
              </w:rPr>
              <w:t xml:space="preserve">2026-10-23</w:t>
            </w:r>
          </w:p>
        </w:tc>
        <w:tc>
          <w:tcPr>
            <w:tcW w:type="dxa" w:w="2300"/>
            <w:tcMar>
              <w:top w:type="dxa" w:w="90"/>
              <w:left w:type="dxa" w:w="130"/>
              <w:bottom w:type="dxa" w:w="90"/>
              <w:right w:type="dxa" w:w="130"/>
            </w:tcMar>
          </w:tcPr>
          <w:p>
            <w:pPr>
              <w:spacing w:after="40"/>
            </w:pPr>
            <w:r>
              <w:rPr>
                <w:b w:val="false"/>
                <w:bCs w:val="false"/>
                <w:sz w:val="19"/>
                <w:szCs w:val="19"/>
              </w:rPr>
              <w:t xml:space="preserve">Same message</w:t>
            </w:r>
          </w:p>
        </w:tc>
      </w:tr>
      <w:tr>
        <w:trPr>
          <w:tblHeader w:val="off"/>
        </w:trPr>
        <w:tc>
          <w:tcPr>
            <w:tcW w:type="dxa" w:w="600"/>
            <w:tcMar>
              <w:top w:type="dxa" w:w="90"/>
              <w:left w:type="dxa" w:w="130"/>
              <w:bottom w:type="dxa" w:w="90"/>
              <w:right w:type="dxa" w:w="130"/>
            </w:tcMar>
          </w:tcPr>
          <w:p>
            <w:pPr>
              <w:spacing w:after="40"/>
            </w:pPr>
            <w:r>
              <w:rPr>
                <w:b/>
                <w:bCs/>
                <w:sz w:val="19"/>
                <w:szCs w:val="19"/>
              </w:rPr>
              <w:t xml:space="preserve">R3</w:t>
            </w:r>
          </w:p>
        </w:tc>
        <w:tc>
          <w:tcPr>
            <w:tcW w:type="dxa" w:w="3500"/>
            <w:tcMar>
              <w:top w:type="dxa" w:w="90"/>
              <w:left w:type="dxa" w:w="130"/>
              <w:bottom w:type="dxa" w:w="90"/>
              <w:right w:type="dxa" w:w="130"/>
            </w:tcMar>
          </w:tcPr>
          <w:p>
            <w:pPr>
              <w:spacing w:after="40"/>
            </w:pPr>
            <w:r>
              <w:rPr>
                <w:b w:val="false"/>
                <w:bCs w:val="false"/>
                <w:sz w:val="19"/>
                <w:szCs w:val="19"/>
              </w:rPr>
              <w:t xml:space="preserve">Build one scenario completely and record its cost before committing to further production.</w:t>
            </w:r>
          </w:p>
        </w:tc>
        <w:tc>
          <w:tcPr>
            <w:tcW w:type="dxa" w:w="1660"/>
            <w:tcMar>
              <w:top w:type="dxa" w:w="90"/>
              <w:left w:type="dxa" w:w="130"/>
              <w:bottom w:type="dxa" w:w="90"/>
              <w:right w:type="dxa" w:w="130"/>
            </w:tcMar>
          </w:tcPr>
          <w:p>
            <w:pPr>
              <w:spacing w:after="40"/>
            </w:pPr>
            <w:r>
              <w:rPr>
                <w:b w:val="false"/>
                <w:bCs w:val="false"/>
                <w:sz w:val="19"/>
                <w:szCs w:val="19"/>
              </w:rPr>
              <w:t xml:space="preserve">Jake H. Davis</w:t>
            </w:r>
          </w:p>
        </w:tc>
        <w:tc>
          <w:tcPr>
            <w:tcW w:type="dxa" w:w="1300"/>
            <w:tcMar>
              <w:top w:type="dxa" w:w="90"/>
              <w:left w:type="dxa" w:w="130"/>
              <w:bottom w:type="dxa" w:w="90"/>
              <w:right w:type="dxa" w:w="130"/>
            </w:tcMar>
          </w:tcPr>
          <w:p>
            <w:pPr>
              <w:spacing w:after="40"/>
            </w:pPr>
            <w:r>
              <w:rPr>
                <w:b w:val="false"/>
                <w:bCs w:val="false"/>
                <w:sz w:val="19"/>
                <w:szCs w:val="19"/>
              </w:rPr>
              <w:t xml:space="preserve">2026-10-23</w:t>
            </w:r>
          </w:p>
        </w:tc>
        <w:tc>
          <w:tcPr>
            <w:tcW w:type="dxa" w:w="2300"/>
            <w:tcMar>
              <w:top w:type="dxa" w:w="90"/>
              <w:left w:type="dxa" w:w="130"/>
              <w:bottom w:type="dxa" w:w="90"/>
              <w:right w:type="dxa" w:w="130"/>
            </w:tcMar>
          </w:tcPr>
          <w:p>
            <w:pPr>
              <w:spacing w:after="40"/>
            </w:pPr>
            <w:r>
              <w:rPr>
                <w:b w:val="false"/>
                <w:bCs w:val="false"/>
                <w:sz w:val="19"/>
                <w:szCs w:val="19"/>
              </w:rPr>
              <w:t xml:space="preserve">Same message ("Yes good idea")</w:t>
            </w:r>
          </w:p>
        </w:tc>
      </w:tr>
      <w:tr>
        <w:trPr>
          <w:tblHeader w:val="off"/>
        </w:trPr>
        <w:tc>
          <w:tcPr>
            <w:tcW w:type="dxa" w:w="600"/>
            <w:tcMar>
              <w:top w:type="dxa" w:w="90"/>
              <w:left w:type="dxa" w:w="130"/>
              <w:bottom w:type="dxa" w:w="90"/>
              <w:right w:type="dxa" w:w="130"/>
            </w:tcMar>
          </w:tcPr>
          <w:p>
            <w:pPr>
              <w:spacing w:after="40"/>
            </w:pPr>
            <w:r>
              <w:rPr>
                <w:b/>
                <w:bCs/>
                <w:sz w:val="19"/>
                <w:szCs w:val="19"/>
              </w:rPr>
              <w:t xml:space="preserve">R4</w:t>
            </w:r>
          </w:p>
        </w:tc>
        <w:tc>
          <w:tcPr>
            <w:tcW w:type="dxa" w:w="3500"/>
            <w:tcMar>
              <w:top w:type="dxa" w:w="90"/>
              <w:left w:type="dxa" w:w="130"/>
              <w:bottom w:type="dxa" w:w="90"/>
              <w:right w:type="dxa" w:w="130"/>
            </w:tcMar>
          </w:tcPr>
          <w:p>
            <w:pPr>
              <w:spacing w:after="40"/>
            </w:pPr>
            <w:r>
              <w:rPr>
                <w:b w:val="false"/>
                <w:bCs w:val="false"/>
                <w:sz w:val="19"/>
                <w:szCs w:val="19"/>
              </w:rPr>
              <w:t xml:space="preserve">The audience framing is Jake H. Davis's. Status: suggestion, not direction, at his instruction.</w:t>
            </w:r>
          </w:p>
        </w:tc>
        <w:tc>
          <w:tcPr>
            <w:tcW w:type="dxa" w:w="1660"/>
            <w:tcMar>
              <w:top w:type="dxa" w:w="90"/>
              <w:left w:type="dxa" w:w="130"/>
              <w:bottom w:type="dxa" w:w="90"/>
              <w:right w:type="dxa" w:w="130"/>
            </w:tcMar>
          </w:tcPr>
          <w:p>
            <w:pPr>
              <w:spacing w:after="40"/>
            </w:pPr>
            <w:r>
              <w:rPr>
                <w:b w:val="false"/>
                <w:bCs w:val="false"/>
                <w:sz w:val="19"/>
                <w:szCs w:val="19"/>
              </w:rPr>
              <w:t xml:space="preserve">Jake H. Davis</w:t>
            </w:r>
          </w:p>
        </w:tc>
        <w:tc>
          <w:tcPr>
            <w:tcW w:type="dxa" w:w="1300"/>
            <w:tcMar>
              <w:top w:type="dxa" w:w="90"/>
              <w:left w:type="dxa" w:w="130"/>
              <w:bottom w:type="dxa" w:w="90"/>
              <w:right w:type="dxa" w:w="130"/>
            </w:tcMar>
          </w:tcPr>
          <w:p>
            <w:pPr>
              <w:spacing w:after="40"/>
            </w:pPr>
            <w:r>
              <w:rPr>
                <w:b w:val="false"/>
                <w:bCs w:val="false"/>
                <w:sz w:val="19"/>
                <w:szCs w:val="19"/>
              </w:rPr>
              <w:t xml:space="preserve">2026-10-23</w:t>
            </w:r>
          </w:p>
        </w:tc>
        <w:tc>
          <w:tcPr>
            <w:tcW w:type="dxa" w:w="2300"/>
            <w:tcMar>
              <w:top w:type="dxa" w:w="90"/>
              <w:left w:type="dxa" w:w="130"/>
              <w:bottom w:type="dxa" w:w="90"/>
              <w:right w:type="dxa" w:w="130"/>
            </w:tcMar>
          </w:tcPr>
          <w:p>
            <w:pPr>
              <w:spacing w:after="40"/>
            </w:pPr>
            <w:r>
              <w:rPr>
                <w:b w:val="false"/>
                <w:bCs w:val="false"/>
                <w:sz w:val="19"/>
                <w:szCs w:val="19"/>
              </w:rPr>
              <w:t xml:space="preserve">Same message; source paper filed</w:t>
            </w:r>
          </w:p>
        </w:tc>
      </w:tr>
    </w:tbl>
    <w:p>
      <w:pPr>
        <w:spacing w:after="140"/>
      </w:pPr>
      <w:r>
        <w:t xml:space="preserve">No accountable owner is yet named, so these entries record a participant's stated decisions rather than an owner's. When owners are named, each entry should be confirmed or revised by the owner whose function it falls under.</w:t>
      </w:r>
    </w:p>
    <w:p>
      <w:pPr>
        <w:spacing w:after="140"/>
      </w:pPr>
      <w:r>
        <w:rPr>
          <w:b/>
          <w:bCs/>
        </w:rPr>
        <w:t xml:space="preserve">Note on item 8. </w:t>
      </w:r>
      <w:r>
        <w:rPr>
          <w:b w:val="false"/>
          <w:bCs w:val="false"/>
        </w:rPr>
        <w:t xml:space="preserve">The capability stays out of beta and is not scoped by this revision. FR18 concerns only the schema decision that implementation would otherwise make by default, and resolving FR18 does not open item 8.</w:t>
      </w:r>
    </w:p>
    <w:p>
      <w:pPr>
        <w:pStyle w:val="Heading1"/>
        <w:spacing w:after="160" w:before="320"/>
      </w:pPr>
      <w:r>
        <w:t xml:space="preserve">10. Relationship to v0.3 and v0.2</w:t>
      </w:r>
    </w:p>
    <w:p>
      <w:pPr>
        <w:spacing w:after="140"/>
      </w:pPr>
      <w:r>
        <w:t xml:space="preserve">v0.4 supersedes the v0.3 draft. Both are proposed revisions to v0.2, which remains governing until a revision is reviewed and adopted.</w:t>
      </w:r>
    </w:p>
    <w:p>
      <w:pPr>
        <w:spacing w:after="140"/>
      </w:pPr>
      <w:r>
        <w:t xml:space="preserve">What v0.4 adds to v0.3: the first decision-register entries; confirmed attribution and recorded status of the audience framing; a stated product direction toward group work; FR20 on context preceding practice; a strengthened FR18 rationale and its move to gate 0; the recorded content roadmap; and the withdrawal of the divided-group draft scenario for rewriting.</w:t>
      </w:r>
    </w:p>
    <w:p>
      <w:pPr>
        <w:spacing w:after="140"/>
      </w:pPr>
      <w:r>
        <w:t xml:space="preserve">What v0.4 carries unchanged from v0.3: FR17, FR18 and FR19 as requirements; the amendments to FR01, FR02 and FR16; the media precedence requirement; the tightened AT10, AT12 and AT15; AT18; the gate bindings in section 8 except as noted; and the re-anchoring of the two addenda.</w:t>
      </w:r>
    </w:p>
    <w:p>
      <w:pPr>
        <w:spacing w:after="140"/>
      </w:pPr>
      <w:r>
        <w:t xml:space="preserve">What both carry unchanged from v0.2: the agreed beta boundaries, FR03 to FR15, the seven-stage journey, user agency, uncertainty, contestable interpretation, explicit saving, later outcome review, no live AI, no in-app feedback prompts, local-first storage with no reflection text transmitted, the provisional versioned entry model, and group capability outside the beta.</w:t>
      </w:r>
    </w:p>
    <w:p>
      <w:pPr>
        <w:spacing w:after="140"/>
      </w:pPr>
      <w:r>
        <w:t xml:space="preserve">Prior mockups, walkthroughs and addenda remain demonstrators, including the entry-flow mockup delivered by the rig on 23 October 2026. They authorize no voice, AI, social or group feature, and no mockup QA satisfies any production gate in section 8.</w:t>
      </w:r>
    </w:p>
    <w:p>
      <w:pPr>
        <w:pBdr>
          <w:bottom w:val="single" w:color="B9BEB8" w:sz="6"/>
        </w:pBdr>
        <w:spacing w:after="160"/>
      </w:pPr>
    </w:p>
    <w:p>
      <w:pPr>
        <w:spacing w:after="140"/>
      </w:pPr>
      <w:r>
        <w:rPr>
          <w:i/>
          <w:iCs/>
        </w:rPr>
        <w:t xml:space="preserve">End of draft. Not reviewed. Not governing.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rFonts w:ascii="Georgia" w:cs="Georgia" w:eastAsia="Georgia" w:hAnsi="Georgia"/>
      <w:b w:val="false"/>
      <w:bCs w:val="false"/>
      <w:color w:val="1A1D21"/>
      <w:sz w:val="44"/>
      <w:szCs w:val="44"/>
    </w:rPr>
  </w:style>
  <w:style w:type="paragraph" w:styleId="Heading1">
    <w:name w:val="Heading 1"/>
    <w:basedOn w:val="Normal"/>
    <w:next w:val="Normal"/>
    <w:qFormat/>
    <w:rPr>
      <w:rFonts w:ascii="Georgia" w:cs="Georgia" w:eastAsia="Georgia" w:hAnsi="Georgia"/>
      <w:b w:val="false"/>
      <w:bCs w:val="false"/>
      <w:color w:val="1A1D21"/>
      <w:sz w:val="28"/>
      <w:szCs w:val="28"/>
    </w:rPr>
  </w:style>
  <w:style w:type="paragraph" w:styleId="Heading2">
    <w:name w:val="Heading 2"/>
    <w:basedOn w:val="Normal"/>
    <w:next w:val="Normal"/>
    <w:qFormat/>
    <w:rPr>
      <w:rFonts w:ascii="Georgia" w:cs="Georgia" w:eastAsia="Georgia" w:hAnsi="Georgia"/>
      <w:b w:val="false"/>
      <w:bCs w:val="false"/>
      <w:color w:val="35596B"/>
      <w:sz w:val="23"/>
      <w:szCs w:val="23"/>
    </w:rPr>
  </w:style>
  <w:style w:type="paragraph" w:styleId="Heading3">
    <w:name w:val="Heading 3"/>
    <w:basedOn w:val="Normal"/>
    <w:next w:val="Normal"/>
    <w:qFormat/>
    <w:rPr>
      <w:rFonts w:ascii="Calibri" w:cs="Calibri" w:eastAsia="Calibri" w:hAnsi="Calibri"/>
      <w:b/>
      <w:bCs/>
      <w:color w:val="35596B"/>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Reflecting Minds Mobile Software Specification v0.4 DRAFT</dc:title>
  <dc:creator>Claude (claude-opus-5)</dc:creator>
  <dc:description>Proposed revision to v0.2 incorporating recorded participant direction. Supersedes v0.3 draft. Not reviewed, not governing.</dc:description>
  <cp:lastModifiedBy>Un-named</cp:lastModifiedBy>
  <cp:revision>1</cp:revision>
  <dcterms:created xsi:type="dcterms:W3CDTF">2026-10-26T14:37:35.337Z</dcterms:created>
  <dcterms:modified xsi:type="dcterms:W3CDTF">2026-10-26T14:37:35.338Z</dcterms:modified>
</cp:coreProperties>
</file>

<file path=docProps/custom.xml><?xml version="1.0" encoding="utf-8"?>
<Properties xmlns="http://schemas.openxmlformats.org/officeDocument/2006/custom-properties" xmlns:vt="http://schemas.openxmlformats.org/officeDocument/2006/docPropsVTypes"/>
</file>