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3F2F" w14:textId="12CA05EA" w:rsidR="00F801C0" w:rsidRPr="00374313" w:rsidRDefault="00BE51D8" w:rsidP="00BF5551">
      <w:pPr>
        <w:pStyle w:val="Titre"/>
        <w:rPr>
          <w:rFonts w:ascii="Georgia" w:hAnsi="Georgia" w:cs="Times New Roman"/>
        </w:rPr>
      </w:pPr>
      <w:r w:rsidRPr="00374313">
        <w:rPr>
          <w:rFonts w:ascii="Georgia" w:hAnsi="Georgia" w:cs="Times New Roman"/>
        </w:rPr>
        <w:t>Os sistemas nacionais de proteção social alimentar</w:t>
      </w:r>
    </w:p>
    <w:p w14:paraId="54430C3B" w14:textId="6B519269" w:rsidR="00BF5551" w:rsidRPr="00374313" w:rsidRDefault="00457DB0" w:rsidP="00BF5551">
      <w:pPr>
        <w:pStyle w:val="Titre"/>
        <w:rPr>
          <w:rFonts w:ascii="Georgia" w:hAnsi="Georgia" w:cs="Times New Roman"/>
          <w:i/>
          <w:iCs/>
          <w:sz w:val="48"/>
          <w:szCs w:val="48"/>
        </w:rPr>
      </w:pPr>
      <w:r w:rsidRPr="00374313">
        <w:rPr>
          <w:rFonts w:ascii="Georgia" w:hAnsi="Georgia" w:cs="Times New Roman"/>
          <w:i/>
          <w:iCs/>
          <w:sz w:val="48"/>
          <w:szCs w:val="48"/>
        </w:rPr>
        <w:t>Comparação estrutural França-Brasil</w:t>
      </w:r>
      <w:r w:rsidR="00BF5551" w:rsidRPr="00374313">
        <w:rPr>
          <w:rFonts w:ascii="Georgia" w:hAnsi="Georgia" w:cs="Times New Roman"/>
          <w:i/>
          <w:iCs/>
          <w:sz w:val="48"/>
          <w:szCs w:val="48"/>
        </w:rPr>
        <w:t/>
      </w:r>
      <w:r w:rsidR="00AD3710" w:rsidRPr="00374313">
        <w:rPr>
          <w:rFonts w:ascii="Georgia" w:hAnsi="Georgia" w:cs="Times New Roman"/>
          <w:i/>
          <w:iCs/>
          <w:sz w:val="48"/>
          <w:szCs w:val="48"/>
        </w:rPr>
        <w:t/>
      </w:r>
      <w:r w:rsidR="00AA06D0" w:rsidRPr="00374313">
        <w:rPr>
          <w:rFonts w:ascii="Georgia" w:hAnsi="Georgia" w:cs="Times New Roman"/>
          <w:i/>
          <w:iCs/>
          <w:sz w:val="48"/>
          <w:szCs w:val="48"/>
        </w:rPr>
        <w:t/>
      </w:r>
      <w:r w:rsidR="00BF5551" w:rsidRPr="00374313">
        <w:rPr>
          <w:rFonts w:ascii="Georgia" w:hAnsi="Georgia" w:cs="Times New Roman"/>
          <w:i/>
          <w:iCs/>
          <w:sz w:val="48"/>
          <w:szCs w:val="48"/>
        </w:rPr>
        <w:t/>
      </w:r>
    </w:p>
    <w:p w14:paraId="0D7B2717" w14:textId="77777777" w:rsidR="00330E29" w:rsidRDefault="00330E29" w:rsidP="00330E29">
      <w:pPr>
        <w:rPr>
          <w:b/>
          <w:bCs/>
        </w:rPr>
      </w:pPr>
      <w:bookmarkStart w:id="0" w:name="_Hlk216805798"/>
      <w:r>
        <w:rPr>
          <w:b/>
          <w:bCs/>
        </w:rPr>
        <w:t>Poupard, Adam (*)</w:t>
      </w:r>
    </w:p>
    <w:p w14:paraId="602EDCF8" w14:textId="41DC43D9" w:rsidR="00603235" w:rsidRDefault="00330E29" w:rsidP="0045652A">
      <w:r>
        <w:rPr>
          <w:b/>
          <w:bCs/>
        </w:rPr>
        <w:t>(*)</w:t>
      </w:r>
      <w:r>
        <w:t xml:space="preserve"> Doutorando no EconomiX, Université Paris Nanterre, Nanterre, França. </w:t>
      </w:r>
      <w:r w:rsidR="002524A2">
        <w:t/>
      </w:r>
      <w:proofErr w:type="spellStart"/>
      <w:r>
        <w:t/>
      </w:r>
      <w:proofErr w:type="spellEnd"/>
      <w:r>
        <w:t/>
      </w:r>
      <w:r w:rsidR="00976F36">
        <w:t/>
      </w:r>
      <w:r>
        <w:t/>
      </w:r>
      <w:hyperlink r:id="rId8" w:history="1">
        <w:r w:rsidRPr="008C0D09">
          <w:rPr>
            <w:rStyle w:val="Lienhypertexte"/>
          </w:rPr>
          <w:t>apoupard@parisnanterre.fr</w:t>
        </w:r>
      </w:hyperlink>
      <w:bookmarkEnd w:id="0"/>
      <w:r w:rsidR="007332D6">
        <w:tab/>
      </w:r>
    </w:p>
    <w:p w14:paraId="3AC4876E" w14:textId="3CF0099C" w:rsidR="00CE3676" w:rsidRDefault="00AA3664" w:rsidP="0045652A">
      <w:r>
        <w:rPr>
          <w:b/>
          <w:bCs/>
        </w:rPr>
        <w:t>Classificação JEL:</w:t>
      </w:r>
      <w:r w:rsidR="00CE3676" w:rsidRPr="00CE3676">
        <w:rPr>
          <w:b/>
          <w:bCs/>
        </w:rPr>
        <w:t/>
      </w:r>
      <w:r w:rsidR="00CE3676">
        <w:rPr>
          <w:b/>
          <w:bCs/>
        </w:rPr>
        <w:t/>
      </w:r>
      <w:r w:rsidR="00CE3676">
        <w:t xml:space="preserve"> P11, P16, P50, P52</w:t>
      </w:r>
      <w:r w:rsidR="00C018C8">
        <w:t/>
      </w:r>
      <w:r w:rsidR="00CE3676">
        <w:t/>
      </w:r>
      <w:r w:rsidR="00844601">
        <w:t/>
      </w:r>
    </w:p>
    <w:p w14:paraId="0FC28416" w14:textId="1C9FA2E1" w:rsidR="00667D87" w:rsidRDefault="00667D87" w:rsidP="00C946AE">
      <w:pPr>
        <w:pStyle w:val="Titre2"/>
      </w:pPr>
      <w:r>
        <w:t>Resumo</w:t>
      </w:r>
    </w:p>
    <w:p w14:paraId="3451FA36" w14:textId="77777777" w:rsidR="00667D87" w:rsidRDefault="00667D87" w:rsidP="00667D87">
      <w:pPr>
        <w:spacing w:line="240" w:lineRule="auto"/>
        <w:jc w:val="both"/>
      </w:pPr>
      <w:r w:rsidRPr="002D6C2F">
        <w:t xml:space="preserve">Este artigo propõe uma definição e uma comparação estrutural dos sistemas nacionais de proteção social alimentar (SNPSA) na França e no Brasil, transpondo para o registro alimentar a descrição dos sistemas de proteção social de </w:t>
      </w:r>
      <w:r>
        <w:t/>
      </w:r>
      <w:r w:rsidRPr="002D6C2F">
        <w:t/>
      </w:r>
      <w:r>
        <w:t/>
      </w:r>
      <w:r w:rsidRPr="002D6C2F">
        <w:t/>
      </w:r>
      <w:r>
        <w:t/>
      </w:r>
      <w:r w:rsidRPr="002D6C2F">
        <w:t/>
      </w:r>
      <w:r>
        <w:t/>
      </w:r>
      <w:r>
        <w:fldChar w:fldCharType="begin"/>
      </w:r>
      <w:r>
        <w:instrText xml:space="preserve"> ADDIN ZOTERO_ITEM CSL_CITATION {"citationID":"vudRVt5T","properties":{"formattedCitation":"(Th\\uc0\\u233{}ret, 1997)","plainCitation":"(Théret, 1997)","dontUpdate":true,"noteIndex":0},"citationItems":[{"id":5975,"uris":["http://zotero.org/users/10222123/items/FFG6NJMT"],"itemData":{"id":5975,"type":"article-journal","citation-key":"theretMethodologieComparaisonsInternationales1997","container-title":"L'Année de la Régulation","journalAbbreviation":"L'Année de la Régulation","page":"163-228","source":"ResearchGate","title":"Méthodologie des comparaisons internationales, approches de l'effet sociétal de la régulation: Fondements pour une lecture structuraliste des systèmes nationaux de protection sociale","title-short":"Méthodologie des comparaisons internationales, approches de l'effet socieétal de la régulation","volume":"1","author":[{"family":"Théret","given":"Bruno"}],"issued":{"date-parts":[["1997",1,1]]}}}],"schema":"https://github.com/citation-style-language/schema/raw/master/csl-citation.json"} </w:instrText>
      </w:r>
      <w:r>
        <w:fldChar w:fldCharType="separate"/>
      </w:r>
      <w:r w:rsidRPr="00F37806">
        <w:rPr>
          <w:rFonts w:cs="Times New Roman"/>
          <w:kern w:val="0"/>
        </w:rPr>
        <w:t>Théret</w:t>
      </w:r>
      <w:r>
        <w:rPr>
          <w:rFonts w:cs="Times New Roman"/>
          <w:kern w:val="0"/>
        </w:rPr>
        <w:t xml:space="preserve"> (</w:t>
      </w:r>
      <w:r w:rsidRPr="00F37806">
        <w:rPr>
          <w:rFonts w:cs="Times New Roman"/>
          <w:kern w:val="0"/>
        </w:rPr>
        <w:t>1997)</w:t>
      </w:r>
      <w:r>
        <w:fldChar w:fldCharType="end"/>
      </w:r>
      <w:r w:rsidRPr="002D6C2F">
        <w:t>. Descrevemos os SNPSA como uma mediação entre as ordens econômica, política e reprodutiva diante da mercantilização conjunta da terra e da alimentação. A análise mostra que os dois países constituem dois tipos ideais opostos por meio da análise dos referenciais mobilizados na elaboração das políticas públicas, confrontando as análises indutiva e estrutural. A França representa uma aliança historicamente fraca entre as esferas reprodutiva e política no acesso à alimentação, ao passo que, no Brasil, esse acesso constitui um objeto importante da legitimação da ação do Estado federal. Explicamos essas diferenciações com base nas sincronias e assincronias dos movimentos sociais populares e rurais.</w:t>
      </w:r>
      <w:r>
        <w:t/>
      </w:r>
      <w:r w:rsidRPr="002D6C2F">
        <w:t/>
      </w:r>
      <w:r>
        <w:t/>
      </w:r>
      <w:r w:rsidRPr="002D6C2F">
        <w:t/>
      </w:r>
      <w:r>
        <w:t/>
      </w:r>
      <w:r w:rsidRPr="002D6C2F">
        <w:t/>
      </w:r>
      <w:r>
        <w:t/>
      </w:r>
      <w:r w:rsidRPr="002D6C2F">
        <w:t/>
      </w:r>
      <w:r>
        <w:t/>
      </w:r>
    </w:p>
    <w:p w14:paraId="47F8C8A0" w14:textId="77777777" w:rsidR="00667D87" w:rsidRPr="000A2956" w:rsidRDefault="00667D87" w:rsidP="00667D87">
      <w:pPr>
        <w:spacing w:line="240" w:lineRule="auto"/>
        <w:jc w:val="both"/>
      </w:pPr>
      <w:r w:rsidRPr="00256977">
        <w:rPr>
          <w:b/>
          <w:bCs/>
        </w:rPr>
        <w:t xml:space="preserve">Palavras-chave: </w:t>
      </w:r>
      <w:r>
        <w:rPr>
          <w:b/>
          <w:bCs/>
        </w:rPr>
        <w:t/>
      </w:r>
      <w:r w:rsidRPr="00256977">
        <w:rPr>
          <w:i/>
          <w:iCs/>
        </w:rPr>
        <w:t>Proteção social alimentar, comparação França-Brasil, mercantilização, institucionalização das políticas alimentares, Sécurité Sociale de l’Alimentation</w:t>
      </w:r>
      <w:r>
        <w:rPr>
          <w:i/>
          <w:iCs/>
        </w:rPr>
        <w:t/>
      </w:r>
    </w:p>
    <w:p w14:paraId="15EBBD1B" w14:textId="77777777" w:rsidR="00667D87" w:rsidRPr="00CE3676" w:rsidRDefault="00667D87" w:rsidP="0045652A"/>
    <w:p w14:paraId="4602CB9F" w14:textId="1577B83A" w:rsidR="00603235" w:rsidRPr="00374313" w:rsidRDefault="00F82EC9" w:rsidP="00603235">
      <w:pPr>
        <w:pStyle w:val="Titre2"/>
      </w:pPr>
      <w:r w:rsidRPr="00374313">
        <w:t>Introdução</w:t>
      </w:r>
    </w:p>
    <w:p w14:paraId="5423E889" w14:textId="0D05ABD0" w:rsidR="00511315" w:rsidRDefault="00865265" w:rsidP="00095337">
      <w:pPr>
        <w:jc w:val="both"/>
        <w:rPr>
          <w:rFonts w:cs="Times New Roman"/>
        </w:rPr>
      </w:pPr>
      <w:r>
        <w:rPr>
          <w:rFonts w:cs="Times New Roman"/>
        </w:rPr>
        <w:t xml:space="preserve">Na França, desde o pós-Covid, desenvolvem-se simultaneamente uma crise da renda agrícola e uma explosão da precariedade alimentar. A sincronia entre duas crises da reprodução social de grupos sociais heterogêneos é algo inédito no contexto francês e constitui terreno fértil para propostas políticas como a criação de um ramo de alimentação no âmbito da Sécurité sociale, sob o nome de Sécurité Sociale de l’Alimentation (SSA) </w:t>
      </w:r>
      <w:r w:rsidR="00477E3E">
        <w:rPr>
          <w:rFonts w:cs="Times New Roman"/>
        </w:rPr>
        <w:t/>
      </w:r>
      <w:r>
        <w:rPr>
          <w:rFonts w:cs="Times New Roman"/>
        </w:rPr>
        <w:t/>
      </w:r>
      <w:r w:rsidR="00B22E96">
        <w:rPr>
          <w:rFonts w:cs="Times New Roman"/>
        </w:rPr>
        <w:t/>
      </w:r>
      <w:r w:rsidR="005C2E52">
        <w:rPr>
          <w:rFonts w:cs="Times New Roman"/>
        </w:rPr>
        <w:t/>
      </w:r>
      <w:r w:rsidR="00FD6EA9">
        <w:rPr>
          <w:rFonts w:cs="Times New Roman"/>
        </w:rPr>
        <w:t/>
      </w:r>
      <w:r w:rsidR="00250729">
        <w:rPr>
          <w:rFonts w:cs="Times New Roman"/>
        </w:rPr>
        <w:t/>
      </w:r>
      <w:r w:rsidR="006808D0">
        <w:rPr>
          <w:rFonts w:cs="Times New Roman"/>
        </w:rPr>
        <w:t/>
      </w:r>
      <w:r w:rsidR="00BB0988">
        <w:rPr>
          <w:rFonts w:cs="Times New Roman"/>
        </w:rPr>
        <w:t/>
      </w:r>
      <w:r w:rsidR="003437DE">
        <w:rPr>
          <w:rFonts w:cs="Times New Roman"/>
        </w:rPr>
        <w:t/>
      </w:r>
      <w:r w:rsidR="00804613">
        <w:rPr>
          <w:rFonts w:cs="Times New Roman"/>
        </w:rPr>
        <w:t/>
      </w:r>
      <w:r w:rsidR="00CF11A6">
        <w:rPr>
          <w:rFonts w:cs="Times New Roman"/>
        </w:rPr>
        <w:t/>
      </w:r>
      <w:r w:rsidR="00047E7D">
        <w:rPr>
          <w:rFonts w:cs="Times New Roman"/>
        </w:rPr>
        <w:t/>
      </w:r>
      <w:r w:rsidR="008B210A">
        <w:rPr>
          <w:rFonts w:cs="Times New Roman"/>
        </w:rPr>
        <w:t/>
      </w:r>
      <w:r w:rsidR="003B6038">
        <w:rPr>
          <w:rFonts w:cs="Times New Roman"/>
        </w:rPr>
        <w:t/>
      </w:r>
      <w:r w:rsidR="008B210A">
        <w:rPr>
          <w:rFonts w:cs="Times New Roman"/>
        </w:rPr>
        <w:t/>
      </w:r>
      <w:r w:rsidR="003B6038">
        <w:rPr>
          <w:rFonts w:cs="Times New Roman"/>
        </w:rPr>
        <w:t/>
      </w:r>
      <w:r w:rsidR="00487D58">
        <w:rPr>
          <w:rFonts w:cs="Times New Roman"/>
        </w:rPr>
        <w:t/>
      </w:r>
      <w:r w:rsidR="008E5E5A">
        <w:rPr>
          <w:rFonts w:cs="Times New Roman"/>
        </w:rPr>
        <w:t/>
      </w:r>
      <w:r w:rsidR="00487D58">
        <w:rPr>
          <w:rFonts w:cs="Times New Roman"/>
        </w:rPr>
        <w:t/>
      </w:r>
      <w:r w:rsidR="00A84F11">
        <w:rPr>
          <w:rFonts w:cs="Times New Roman"/>
        </w:rPr>
        <w:t/>
      </w:r>
      <w:r w:rsidR="00487D58">
        <w:rPr>
          <w:rFonts w:cs="Times New Roman"/>
        </w:rPr>
        <w:t/>
      </w:r>
      <w:r w:rsidR="001F7DEF">
        <w:rPr>
          <w:rFonts w:cs="Times New Roman"/>
        </w:rPr>
        <w:fldChar w:fldCharType="begin"/>
      </w:r>
      <w:r w:rsidR="006B54E8">
        <w:rPr>
          <w:rFonts w:cs="Times New Roman"/>
        </w:rPr>
        <w:instrText xml:space="preserve"> ADDIN ZOTERO_ITEM CSL_CITATION {"citationID":"GUuIvDzB","properties":{"formattedCitation":"(Chiffoleau, Akermann, Paturel, &amp; No\\uc0\\u235{}l, 2023)","plainCitation":"(Chiffoleau, Akermann, Paturel, &amp; Noël, 2023)","noteIndex":0},"citationItems":[{"id":5160,"uris":["http://zotero.org/users/10222123/items/5NB2Y9TG"],"itemData":{"id":5160,"type":"article-journal","abstract":"Inequalities in access to quality food are a marker of contemporary societies. By confirming them, the COVID-19 crisis has also given greater visibility to food solidarity initiatives aimed at reducing these inequalities by relying in particular on short food chains and local food. In this article, after presenting the two main approaches to these initiatives in the literature, we propose an interdisciplinary analytical framework that allows us to question them as concrete economies, embedded in social relations, rooted in territories and participatory, shaped in part through their relations with public policies. We apply this framework to a wide range of initiatives identified in France in 2020 and thus show a diversity of strategies implemented to facilitate access to quality food for people in precarious situations, while highlighting the associated difficulties. While combining certain strategies can help reach more precarious people, food solidarity initiatives do not have the capacity to provide access to quality food for all. We then conclude on the universalist perspective opened up by the social security for food project, as a political narrative federating a diversity of actors and initiatives, but also giving rise to debates, on a national scale and through local experiments.","citation-key":"chiffoleauCircuitsCourtsSecurite2023","container-title":"Lien social et Politiques","DOI":"10.7202/1105099ar","ISSN":"1204-3206, 1703-9665","issue":"90","journalAbbreviation":"lsp","language":"fr","page":"310-329","publisher":"Lien social et Politiques","source":"www.erudit.org","title":"Des circuits courts à la sécurité sociale de l’alimentation : économies concrètes et récit politique pour la solidarité alimentaire","title-short":"Des circuits courts à la sécurité sociale de l’alimentation","author":[{"family":"Chiffoleau","given":"Yuna"},{"family":"Akermann","given":"Grégori"},{"family":"Paturel","given":"Dominique"},{"family":"Noël","given":"Julien"}],"issued":{"date-parts":[["2023"]]}}}],"schema":"https://github.com/citation-style-language/schema/raw/master/csl-citation.json"} </w:instrText>
      </w:r>
      <w:r w:rsidR="001F7DEF">
        <w:rPr>
          <w:rFonts w:cs="Times New Roman"/>
        </w:rPr>
        <w:fldChar w:fldCharType="separate"/>
      </w:r>
      <w:r w:rsidR="00DF6BD6" w:rsidRPr="00DF6BD6">
        <w:rPr>
          <w:rFonts w:cs="Times New Roman"/>
          <w:kern w:val="0"/>
        </w:rPr>
        <w:t>(Chiffoleau, Akermann, Paturel, &amp; Noël, 2023)</w:t>
      </w:r>
      <w:r w:rsidR="001F7DEF">
        <w:rPr>
          <w:rFonts w:cs="Times New Roman"/>
        </w:rPr>
        <w:fldChar w:fldCharType="end"/>
      </w:r>
      <w:r w:rsidR="0097635C">
        <w:rPr>
          <w:rFonts w:cs="Times New Roman"/>
        </w:rPr>
        <w:t>. Tal extensão nos leva a questionar o tipo de mediação que essa instituição produziria, em um registro historicamente negligenciado nas análises da proteção social. O registro</w:t>
      </w:r>
      <w:r w:rsidR="00974497">
        <w:rPr>
          <w:rFonts w:cs="Times New Roman"/>
        </w:rPr>
        <w:t/>
      </w:r>
      <w:r w:rsidR="00A1441C">
        <w:rPr>
          <w:rFonts w:cs="Times New Roman"/>
        </w:rPr>
        <w:t/>
      </w:r>
      <w:r w:rsidR="00974497">
        <w:rPr>
          <w:rFonts w:cs="Times New Roman"/>
        </w:rPr>
        <w:t/>
      </w:r>
      <w:r w:rsidR="00CC161E">
        <w:rPr>
          <w:rFonts w:cs="Times New Roman"/>
        </w:rPr>
        <w:t/>
      </w:r>
      <w:r w:rsidR="00150EBC">
        <w:rPr>
          <w:rFonts w:cs="Times New Roman"/>
        </w:rPr>
        <w:t/>
      </w:r>
      <w:r w:rsidR="00461ACC">
        <w:rPr>
          <w:rFonts w:cs="Times New Roman"/>
        </w:rPr>
        <w:t/>
      </w:r>
      <w:r w:rsidR="0097635C">
        <w:rPr>
          <w:rFonts w:cs="Times New Roman"/>
        </w:rPr>
        <w:t/>
      </w:r>
      <w:r w:rsidR="0069544D">
        <w:rPr>
          <w:rFonts w:cs="Times New Roman"/>
        </w:rPr>
        <w:t/>
      </w:r>
      <w:r w:rsidR="0097635C">
        <w:rPr>
          <w:rFonts w:cs="Times New Roman"/>
        </w:rPr>
        <w:t/>
      </w:r>
      <w:r w:rsidR="00B35743" w:rsidRPr="00483230">
        <w:rPr>
          <w:rStyle w:val="Appelnotedebasdep"/>
        </w:rPr>
        <w:footnoteReference w:id="1"/>
      </w:r>
      <w:r w:rsidR="0097635C">
        <w:rPr>
          <w:rFonts w:cs="Times New Roman"/>
        </w:rPr>
        <w:t xml:space="preserve"> alimentar é central tanto para a reprodução biológica quanto para a pacificação ou, ao contrário, a desestabilização das economias políticas. Quando o acesso imediato à alimentação deixa de ser garantido, a legitimidade dos compromissos políticos vacila, e a acumulação econômica perde ao mesmo tempo a força de trabalho e a estabilidade política de que necessita. Se </w:t>
      </w:r>
      <w:r w:rsidR="0029491D">
        <w:rPr>
          <w:rFonts w:cs="Times New Roman"/>
        </w:rPr>
        <w:t/>
      </w:r>
      <w:r w:rsidR="0097635C">
        <w:rPr>
          <w:rFonts w:cs="Times New Roman"/>
        </w:rPr>
        <w:t/>
      </w:r>
      <w:r w:rsidR="001F11C4">
        <w:rPr>
          <w:rFonts w:cs="Times New Roman"/>
        </w:rPr>
        <w:t/>
      </w:r>
      <w:r w:rsidR="002F282E">
        <w:rPr>
          <w:rFonts w:cs="Times New Roman"/>
        </w:rPr>
        <w:t/>
      </w:r>
      <w:r w:rsidR="00F933E6">
        <w:rPr>
          <w:rFonts w:cs="Times New Roman"/>
        </w:rPr>
        <w:t/>
      </w:r>
      <w:r w:rsidR="00C609BE">
        <w:rPr>
          <w:rFonts w:cs="Times New Roman"/>
        </w:rPr>
        <w:t/>
      </w:r>
      <w:r w:rsidR="000A3D00">
        <w:rPr>
          <w:rFonts w:cs="Times New Roman"/>
        </w:rPr>
        <w:t/>
      </w:r>
      <w:r w:rsidR="00C609BE">
        <w:rPr>
          <w:rFonts w:cs="Times New Roman"/>
        </w:rPr>
        <w:t/>
      </w:r>
      <w:r w:rsidR="00A13481">
        <w:rPr>
          <w:rFonts w:cs="Times New Roman"/>
        </w:rPr>
        <w:t/>
      </w:r>
      <w:r w:rsidR="00CE0A96">
        <w:rPr>
          <w:rFonts w:cs="Times New Roman"/>
        </w:rPr>
        <w:t/>
      </w:r>
      <w:r w:rsidR="00BA0B0A">
        <w:rPr>
          <w:rFonts w:cs="Times New Roman"/>
        </w:rPr>
        <w:t/>
      </w:r>
      <w:r w:rsidR="00861F03">
        <w:rPr>
          <w:rFonts w:cs="Times New Roman"/>
        </w:rPr>
        <w:t/>
      </w:r>
      <w:r w:rsidR="005117FC">
        <w:rPr>
          <w:rFonts w:cs="Times New Roman"/>
        </w:rPr>
        <w:t/>
      </w:r>
      <w:r w:rsidR="005117FC">
        <w:rPr>
          <w:rFonts w:cs="Times New Roman"/>
        </w:rPr>
        <w:lastRenderedPageBreak/>
        <w:t/>
      </w:r>
      <w:r w:rsidR="00DC4A66">
        <w:rPr>
          <w:rFonts w:cs="Times New Roman"/>
        </w:rPr>
        <w:t/>
      </w:r>
      <w:r w:rsidR="007F1056">
        <w:rPr>
          <w:rFonts w:cs="Times New Roman"/>
        </w:rPr>
        <w:t/>
      </w:r>
      <w:r w:rsidR="00114FB5">
        <w:rPr>
          <w:rFonts w:cs="Times New Roman"/>
        </w:rPr>
        <w:t/>
      </w:r>
      <w:r w:rsidR="00E679BD">
        <w:rPr>
          <w:rFonts w:cs="Times New Roman"/>
        </w:rPr>
        <w:t/>
      </w:r>
      <w:r w:rsidR="007B5B77">
        <w:rPr>
          <w:rFonts w:cs="Times New Roman"/>
        </w:rPr>
        <w:t/>
      </w:r>
      <w:r w:rsidR="00E42380">
        <w:rPr>
          <w:rFonts w:cs="Times New Roman"/>
        </w:rPr>
        <w:t/>
      </w:r>
      <w:r w:rsidR="007B5B77">
        <w:rPr>
          <w:rFonts w:cs="Times New Roman"/>
        </w:rPr>
        <w:t/>
      </w:r>
      <w:r w:rsidR="00E679BD">
        <w:rPr>
          <w:rFonts w:cs="Times New Roman"/>
        </w:rPr>
        <w:t/>
      </w:r>
      <w:r w:rsidR="00D92259">
        <w:rPr>
          <w:rFonts w:cs="Times New Roman"/>
        </w:rPr>
        <w:t/>
      </w:r>
      <w:r w:rsidR="00EF37A4">
        <w:rPr>
          <w:rFonts w:cs="Times New Roman"/>
        </w:rPr>
        <w:fldChar w:fldCharType="begin"/>
      </w:r>
      <w:r w:rsidR="005915E4">
        <w:rPr>
          <w:rFonts w:cs="Times New Roman"/>
        </w:rPr>
        <w:instrText xml:space="preserve"> ADDIN ZOTERO_ITEM CSL_CITATION {"citationID":"zK7o4RMC","properties":{"formattedCitation":"(Scott, 2019)","plainCitation":"(Scott, 2019)","dontUpdate":true,"noteIndex":0},"citationItems":[{"id":14182,"uris":["http://zotero.org/users/10222123/items/TNKBCFKD"],"itemData":{"id":14182,"type":"book","abstract":"Servi par une érudition étourdissante, une plume agile et un sens aigu de la formule, Homo domesticus nous offre une synthèse brillante et sans équivalent de l'histoire des premiers États, de la naissance de l'agriculture aux premiers centres urbains, démontant implacablement le grand récit de la naissance de l'État antique comme étape cruciale de la civilisation humaine.  Aucun ouvrage n'avait jusqu'à présent réussi à restituer toute la profondeur et l'extension universelle des dynamiques indissociablement écologiques et anthropologiques qui se sont déployées au cours des dix millénaires ayant précédé notre ère, de l'émergence de l'agriculture à la formation des premiers centres urbains, puis des premiers États.  C'est ce tour de force que réalise avec un brio extraordinaire Homo domesticus . Servi par une érudition étourdissante, une plume agile et un sens aigu de la formule, ce livre démonte implacablement le grand récit de la naissance de l'État antique comme étape cruciale de la \" civilisation \" humaine.  Ce faisant, il nous offre une véritable écologie politique des formes primitives d'aménagement du territoire, de l'\" autodomestication \" paradoxale de l'animal humain, des dynamiques démographiques et épidémiologiques de la sédentarisation et des logiques de la servitude et de la guerre dans le monde antique.  Cette fresque omnivore et iconoclaste révolutionne nos connaissances sur l'évolution de l'humanité et sur ce que Rousseau appelait \" l'origine et les fondements de l'inégalité parmi les hommes \".   La préface de cet ouvrage est rédigée par Jean-Paul Demoule, spécialiste du Néolithique et de l'âge du Fer, professeur émérite de protohistoire européenne à l'université de Paris 1 Panthéon-Sorbonne, et l'auteur d'une vingtaine d'ouvrages, parmi lesquels Mais où sont passés les Indo-Européens ? Aux origines du mythe de l'Occident et, avec Dominique Garcia et Alain Schnapp (dir.), Une histoire des civilisations. Comment l'archéologie bouleverse nos connaissances .","citation-key":"scottHomoDomesticusHistoire2019","ISBN":"978-2-7071-9923-2","language":"French","number-of-pages":"320","publisher":"La découverte","publisher-place":"Paris","source":"Amazon","title":"Homo domesticus - Une histoire profonde des premiers Etats","author":[{"family":"Scott","given":"James C."}],"translator":[{"family":"Saint-Upéry","given":"Marc"}],"contributor":[{"family":"Demoule","given":"Jean-Paul"}],"issued":{"date-parts":[["2019"]]}}}],"schema":"https://github.com/citation-style-language/schema/raw/master/csl-citation.json"} </w:instrText>
      </w:r>
      <w:r w:rsidR="00EF37A4">
        <w:rPr>
          <w:rFonts w:cs="Times New Roman"/>
        </w:rPr>
        <w:fldChar w:fldCharType="separate"/>
      </w:r>
      <w:r w:rsidR="00EF37A4" w:rsidRPr="00EF37A4">
        <w:rPr>
          <w:rFonts w:cs="Times New Roman"/>
        </w:rPr>
        <w:t>Scott</w:t>
      </w:r>
      <w:r w:rsidR="00EF37A4">
        <w:rPr>
          <w:rFonts w:cs="Times New Roman"/>
        </w:rPr>
        <w:t xml:space="preserve"> (</w:t>
      </w:r>
      <w:r w:rsidR="00EF37A4" w:rsidRPr="00EF37A4">
        <w:rPr>
          <w:rFonts w:cs="Times New Roman"/>
        </w:rPr>
        <w:t>2019)</w:t>
      </w:r>
      <w:r w:rsidR="00EF37A4">
        <w:rPr>
          <w:rFonts w:cs="Times New Roman"/>
        </w:rPr>
        <w:fldChar w:fldCharType="end"/>
      </w:r>
      <w:r w:rsidR="00B83F14">
        <w:rPr>
          <w:rFonts w:cs="Times New Roman"/>
        </w:rPr>
        <w:t xml:space="preserve"> mostra como o controle da agricultura e do abastecimento alimentar é necessário à estruturação dos primeiros Estados, e se </w:t>
      </w:r>
      <w:r w:rsidR="00EF37A4">
        <w:rPr>
          <w:rFonts w:cs="Times New Roman"/>
        </w:rPr>
        <w:t/>
      </w:r>
      <w:r w:rsidR="00813BE9">
        <w:rPr>
          <w:rFonts w:cs="Times New Roman"/>
        </w:rPr>
        <w:t/>
      </w:r>
      <w:r w:rsidR="00831BB6">
        <w:rPr>
          <w:rFonts w:cs="Times New Roman"/>
        </w:rPr>
        <w:t/>
      </w:r>
      <w:r w:rsidR="00813BE9">
        <w:rPr>
          <w:rFonts w:cs="Times New Roman"/>
        </w:rPr>
        <w:t/>
      </w:r>
      <w:r w:rsidR="00831BB6">
        <w:rPr>
          <w:rFonts w:cs="Times New Roman"/>
        </w:rPr>
        <w:t/>
      </w:r>
      <w:r w:rsidR="0023158B">
        <w:rPr>
          <w:rFonts w:cs="Times New Roman"/>
        </w:rPr>
        <w:t/>
      </w:r>
      <w:r w:rsidR="00936FB6">
        <w:rPr>
          <w:rFonts w:cs="Times New Roman"/>
        </w:rPr>
        <w:t/>
      </w:r>
      <w:r w:rsidR="00DC332F">
        <w:rPr>
          <w:rFonts w:cs="Times New Roman"/>
        </w:rPr>
        <w:t/>
      </w:r>
      <w:r w:rsidR="00C214BA">
        <w:rPr>
          <w:rFonts w:cs="Times New Roman"/>
        </w:rPr>
        <w:t/>
      </w:r>
      <w:r w:rsidR="003C3F94">
        <w:rPr>
          <w:rFonts w:cs="Times New Roman"/>
        </w:rPr>
        <w:fldChar w:fldCharType="begin"/>
      </w:r>
      <w:r w:rsidR="00511B07">
        <w:rPr>
          <w:rFonts w:cs="Times New Roman"/>
        </w:rPr>
        <w:instrText xml:space="preserve"> ADDIN ZOTERO_ITEM CSL_CITATION {"citationID":"dM3TzY1I","properties":{"formattedCitation":"(Marx, 1990)","plainCitation":"(Marx, 1990)","dontUpdate":true,"noteIndex":0},"citationItems":[{"id":14184,"uris":["http://zotero.org/users/10222123/items/49CQAG36"],"itemData":{"id":14184,"type":"book","abstract":"'A groundbreaking work of economic analysis. It is also a literary masterpice' Francis Wheen, GuardianOne of the most notorious and influential works of modern times, Capital is an incisive critique of private property and the social relations it generates. Living in exile in England, where this work was largely written, Marx drew on a wide-ranging knowledge of its society to support his analysis. Arguing that capitalism would cause an ever-increasing division in wealth and welfare, he predicted its abolition and replacement by a system with common ownership of the means of production. Capital rapidly acquired readership throughout the world, to become a work described by Marx's collaborator Friedrich Engels as 'the Bible of the working class'.Translated by BEN FOWKES with an Introduction by ERNEST MANDEL","citation-key":"marxCapitalVolume1990","ISBN":"978-0-14-044568-8","language":"Anglais","number-of-pages":"1152","publisher":"Penguin Classics","publisher-place":"London","source":"Amazon","title":"Capital: Volume I","title-short":"Capital","author":[{"family":"Marx","given":"Karl"}],"contributor":[{"family":"Mandel","given":"Ernest"},{"family":"Fowkes","given":"Ben"}],"issued":{"date-parts":[["1990"]]}}}],"schema":"https://github.com/citation-style-language/schema/raw/master/csl-citation.json"} </w:instrText>
      </w:r>
      <w:r w:rsidR="003C3F94">
        <w:rPr>
          <w:rFonts w:cs="Times New Roman"/>
        </w:rPr>
        <w:fldChar w:fldCharType="separate"/>
      </w:r>
      <w:r w:rsidR="003C3F94" w:rsidRPr="003C3F94">
        <w:rPr>
          <w:rFonts w:cs="Times New Roman"/>
        </w:rPr>
        <w:t>Marx</w:t>
      </w:r>
      <w:r w:rsidR="003C3F94">
        <w:rPr>
          <w:rFonts w:cs="Times New Roman"/>
        </w:rPr>
        <w:t xml:space="preserve"> (</w:t>
      </w:r>
      <w:r w:rsidR="003C3F94" w:rsidRPr="003C3F94">
        <w:rPr>
          <w:rFonts w:cs="Times New Roman"/>
        </w:rPr>
        <w:t>1990</w:t>
      </w:r>
      <w:r w:rsidR="00BB745D">
        <w:rPr>
          <w:rFonts w:cs="Times New Roman"/>
        </w:rPr>
        <w:t xml:space="preserve"> [1867]</w:t>
      </w:r>
      <w:r w:rsidR="003C3F94">
        <w:rPr>
          <w:rFonts w:cs="Times New Roman"/>
        </w:rPr>
        <w:t>, Section 8</w:t>
      </w:r>
      <w:r w:rsidR="003C3F94" w:rsidRPr="003C3F94">
        <w:rPr>
          <w:rFonts w:cs="Times New Roman"/>
        </w:rPr>
        <w:t>)</w:t>
      </w:r>
      <w:r w:rsidR="003C3F94">
        <w:rPr>
          <w:rFonts w:cs="Times New Roman"/>
        </w:rPr>
        <w:fldChar w:fldCharType="end"/>
      </w:r>
      <w:r w:rsidR="007871A2">
        <w:rPr>
          <w:rFonts w:cs="Times New Roman"/>
        </w:rPr>
        <w:t xml:space="preserve"> mostra como a expulsão dos camponeses de suas terras é necessária à acumulação primitiva e à emergência do trabalho assalariado industrial, a terra e a alimentação desapareceram pouco a pouco da economia política dos países industriais </w:t>
      </w:r>
      <w:r w:rsidR="00C14261">
        <w:rPr>
          <w:rFonts w:cs="Times New Roman"/>
        </w:rPr>
        <w:t/>
      </w:r>
      <w:r w:rsidR="00DF033C">
        <w:rPr>
          <w:rFonts w:cs="Times New Roman"/>
        </w:rPr>
        <w:t/>
      </w:r>
      <w:r w:rsidR="003C205F">
        <w:rPr>
          <w:rFonts w:cs="Times New Roman"/>
        </w:rPr>
        <w:t/>
      </w:r>
      <w:r w:rsidR="00DF033C">
        <w:rPr>
          <w:rFonts w:cs="Times New Roman"/>
        </w:rPr>
        <w:t/>
      </w:r>
      <w:r w:rsidR="004A20E6">
        <w:rPr>
          <w:rFonts w:cs="Times New Roman"/>
        </w:rPr>
        <w:t/>
      </w:r>
      <w:r w:rsidR="00863552">
        <w:rPr>
          <w:rFonts w:cs="Times New Roman"/>
        </w:rPr>
        <w:t/>
      </w:r>
      <w:r w:rsidR="00F02ABF">
        <w:rPr>
          <w:rFonts w:cs="Times New Roman"/>
        </w:rPr>
        <w:t/>
      </w:r>
      <w:r w:rsidR="00E24599">
        <w:rPr>
          <w:rFonts w:cs="Times New Roman"/>
        </w:rPr>
        <w:fldChar w:fldCharType="begin"/>
      </w:r>
      <w:r w:rsidR="00511B07">
        <w:rPr>
          <w:rFonts w:cs="Times New Roman"/>
        </w:rPr>
        <w:instrText xml:space="preserve"> ADDIN ZOTERO_ITEM CSL_CITATION {"citationID":"PwDJ7ds0","properties":{"formattedCitation":"(Friedmann, Daviron, &amp; Allaire, 2016)","plainCitation":"(Friedmann, Daviron, &amp; Allaire, 2016)","noteIndex":0},"citationItems":[{"id":14186,"uris":["http://zotero.org/users/10222123/items/UNC9V7A6"],"itemData":{"id":14186,"type":"article-journal","abstract":"1. Could you present the core propositions of your work? Its evolution both thematically and theoretically? Food regime analysis began with the ambition to understand systems of inter-state power in relation to changes in class formation and international division of labor. It also aspires to understand capital in its specific configurations in relation to land and bodies, that is, to nature, including human nature. Land and food are always foundations of human society; Marx defined a mode of...","citation-key":"friedmannPoliticalEconomistsHave2016/dec./20","container-title":"Revue de la régulation. Capitalisme, institutions, pouvoirs","DOI":"10.4000/regulation.12145","ISSN":"1957-7796","issue":"20","language":"en","license":"https://creativecommons.org/licenses/by-nc-nd/4.0/","publisher":"Association Recherche &amp; Régulation","source":"journals.openedition.org","title":"“Political economists have been blinded by the apparent marginalization of land and food”","URL":"https://journals.openedition.org/regulation/12145","author":[{"family":"Friedmann","given":"Harriet"},{"family":"Daviron","given":"Benoît"},{"family":"Allaire","given":"Gilles"}],"accessed":{"date-parts":[["2026",3,10]]},"issued":{"date-parts":[["2016",12]]}}}],"schema":"https://github.com/citation-style-language/schema/raw/master/csl-citation.json"} </w:instrText>
      </w:r>
      <w:r w:rsidR="00E24599">
        <w:rPr>
          <w:rFonts w:cs="Times New Roman"/>
        </w:rPr>
        <w:fldChar w:fldCharType="separate"/>
      </w:r>
      <w:r w:rsidR="00DF6BD6" w:rsidRPr="00DF6BD6">
        <w:rPr>
          <w:rFonts w:cs="Times New Roman"/>
        </w:rPr>
        <w:t>(Friedmann, Daviron, &amp; Allaire, 2016)</w:t>
      </w:r>
      <w:r w:rsidR="00E24599">
        <w:rPr>
          <w:rFonts w:cs="Times New Roman"/>
        </w:rPr>
        <w:fldChar w:fldCharType="end"/>
      </w:r>
      <w:r w:rsidR="00E24599">
        <w:rPr>
          <w:rFonts w:cs="Times New Roman"/>
        </w:rPr>
        <w:t xml:space="preserve">. No entanto, </w:t>
      </w:r>
      <w:r w:rsidR="00B12AA0">
        <w:rPr>
          <w:rFonts w:cs="Times New Roman"/>
        </w:rPr>
        <w:t/>
      </w:r>
      <w:r w:rsidR="001E5D08">
        <w:rPr>
          <w:rFonts w:cs="Times New Roman"/>
        </w:rPr>
        <w:t/>
      </w:r>
      <w:r w:rsidR="000E1252">
        <w:rPr>
          <w:rFonts w:cs="Times New Roman"/>
        </w:rPr>
        <w:fldChar w:fldCharType="begin"/>
      </w:r>
      <w:r w:rsidR="00511B07">
        <w:rPr>
          <w:rFonts w:cs="Times New Roman"/>
        </w:rPr>
        <w:instrText xml:space="preserve"> ADDIN ZOTERO_ITEM CSL_CITATION {"citationID":"l0HezsQ5","properties":{"formattedCitation":"(Tilly, 1974)","plainCitation":"(Tilly, 1974)","dontUpdate":true,"noteIndex":0},"citationItems":[{"id":14188,"uris":["http://zotero.org/users/10222123/items/5D9JUSPQ"],"itemData":{"id":14188,"type":"book","citation-key":"tillyFoodSupplyPublic1974","language":"en","note":"Google-Books-ID: t0kzGwAACAAJ","number-of-pages":"282","source":"Google Books","title":"Food Supply and Public Order in Modern Europe","author":[{"family":"Tilly","given":"Charles"}],"issued":{"date-parts":[["1974"]]}}}],"schema":"https://github.com/citation-style-language/schema/raw/master/csl-citation.json"} </w:instrText>
      </w:r>
      <w:r w:rsidR="000E1252">
        <w:rPr>
          <w:rFonts w:cs="Times New Roman"/>
        </w:rPr>
        <w:fldChar w:fldCharType="separate"/>
      </w:r>
      <w:r w:rsidR="000E1252" w:rsidRPr="000E1252">
        <w:rPr>
          <w:rFonts w:cs="Times New Roman"/>
        </w:rPr>
        <w:t>Tilly</w:t>
      </w:r>
      <w:r w:rsidR="000E1252">
        <w:rPr>
          <w:rFonts w:cs="Times New Roman"/>
        </w:rPr>
        <w:t xml:space="preserve"> (</w:t>
      </w:r>
      <w:r w:rsidR="000E1252" w:rsidRPr="000E1252">
        <w:rPr>
          <w:rFonts w:cs="Times New Roman"/>
        </w:rPr>
        <w:t>1974)</w:t>
      </w:r>
      <w:r w:rsidR="000E1252">
        <w:rPr>
          <w:rFonts w:cs="Times New Roman"/>
        </w:rPr>
        <w:fldChar w:fldCharType="end"/>
      </w:r>
      <w:r w:rsidR="000E1252">
        <w:rPr>
          <w:rFonts w:cs="Times New Roman"/>
        </w:rPr>
        <w:t xml:space="preserve"> mostra como o Estado moderno se constrói como aparelho de garantia das subsistências alimentares, e </w:t>
      </w:r>
      <w:r w:rsidR="0007034E">
        <w:rPr>
          <w:rFonts w:cs="Times New Roman"/>
        </w:rPr>
        <w:t/>
      </w:r>
      <w:r w:rsidR="000F7CFD">
        <w:rPr>
          <w:rFonts w:cs="Times New Roman"/>
        </w:rPr>
        <w:t/>
      </w:r>
      <w:r w:rsidR="00ED04C2">
        <w:rPr>
          <w:rFonts w:cs="Times New Roman"/>
        </w:rPr>
        <w:t/>
      </w:r>
      <w:r w:rsidR="006E56AE">
        <w:rPr>
          <w:rFonts w:cs="Times New Roman"/>
        </w:rPr>
        <w:t/>
      </w:r>
      <w:r w:rsidR="00C40BA0">
        <w:rPr>
          <w:rFonts w:cs="Times New Roman"/>
        </w:rPr>
        <w:t/>
      </w:r>
      <w:r w:rsidR="0006719D">
        <w:rPr>
          <w:rFonts w:cs="Times New Roman"/>
        </w:rPr>
        <w:fldChar w:fldCharType="begin"/>
      </w:r>
      <w:r w:rsidR="007C1A0D">
        <w:rPr>
          <w:rFonts w:cs="Times New Roman"/>
        </w:rPr>
        <w:instrText xml:space="preserve"> ADDIN ZOTERO_ITEM CSL_CITATION {"citationID":"Lj9LgCf0","properties":{"formattedCitation":"(Friedmann &amp; Mcmichael, 1989)","plainCitation":"(Friedmann &amp; Mcmichael, 1989)","dontUpdate":true,"noteIndex":0},"citationItems":[{"id":5795,"uris":["http://zotero.org/users/10222123/items/JQL4Y3Z2"],"itemData":{"id":5795,"type":"article-journal","abstract":"Beginning with a theoretical and empirical critique of the prevailing \"ideal' development model of complementary intersectoral linkages between agriculture and industry, a fresh perspective on the historical impacts of agriculture on the global state system, based on the concept of \"food regime', is developed. The nineteenth century process of national-state formation is seen as a systemic process in which settler states and their agriculturalists provisioned the growing European working classes and became the basis of a new type of trade within a new international order. Late twentieth century agriculture is conceptualized in terms of an intensive system in which consumption relations have been reconstructed as part of the process of capital accumulation and of the growing power of capital undercutting state policies directing agriculture to national ends. -Authors","citation-key":"friedmannAgricultureStateSystem1989","container-title":"Sociologia Ruralis","DOI":"10.1111/j.1467-9523.1989.tb00360.x","journalAbbreviation":"Sociologia Ruralis","page":"93-117","source":"ResearchGate","title":"Agriculture and the State System: The Rise and Decline of National Agriculture","title-short":"‘Agriculture and the State System","volume":"29","author":[{"family":"Friedmann","given":"Harriet"},{"family":"McMichael","given":"Philip"}],"issued":{"date-parts":[["1989"]]}}}],"schema":"https://github.com/citation-style-language/schema/raw/master/csl-citation.json"} </w:instrText>
      </w:r>
      <w:r w:rsidR="0006719D">
        <w:rPr>
          <w:rFonts w:cs="Times New Roman"/>
        </w:rPr>
        <w:fldChar w:fldCharType="separate"/>
      </w:r>
      <w:r w:rsidR="00DF6BD6" w:rsidRPr="00DF6BD6">
        <w:rPr>
          <w:rFonts w:cs="Times New Roman"/>
        </w:rPr>
        <w:t>Friedmann &amp; Mcmichael</w:t>
      </w:r>
      <w:r w:rsidR="001F7165">
        <w:rPr>
          <w:rFonts w:cs="Times New Roman"/>
        </w:rPr>
        <w:t xml:space="preserve"> (</w:t>
      </w:r>
      <w:r w:rsidR="00DF6BD6" w:rsidRPr="00DF6BD6">
        <w:rPr>
          <w:rFonts w:cs="Times New Roman"/>
        </w:rPr>
        <w:t>1989)</w:t>
      </w:r>
      <w:r w:rsidR="0006719D">
        <w:rPr>
          <w:rFonts w:cs="Times New Roman"/>
        </w:rPr>
        <w:fldChar w:fldCharType="end"/>
      </w:r>
      <w:r w:rsidR="0006719D">
        <w:rPr>
          <w:rFonts w:cs="Times New Roman"/>
        </w:rPr>
        <w:t xml:space="preserve"> mostram como as potências hegemônicas mundiais (Inglaterra e, em seguida, Estados Unidos) construíram sua dominação por meio do controle dos mercados agrícolas mundiais, </w:t>
      </w:r>
      <w:r w:rsidR="00D64EA6">
        <w:rPr>
          <w:rFonts w:cs="Times New Roman"/>
        </w:rPr>
        <w:t/>
      </w:r>
      <w:r w:rsidR="000E21E4">
        <w:rPr>
          <w:rFonts w:cs="Times New Roman"/>
        </w:rPr>
        <w:t/>
      </w:r>
      <w:r w:rsidR="00B05C62">
        <w:rPr>
          <w:rFonts w:cs="Times New Roman"/>
        </w:rPr>
        <w:t/>
      </w:r>
      <w:r w:rsidR="007C5FAD">
        <w:rPr>
          <w:rFonts w:cs="Times New Roman"/>
        </w:rPr>
        <w:t/>
      </w:r>
      <w:r w:rsidR="007C5FAD" w:rsidRPr="007C5FAD">
        <w:rPr>
          <w:rFonts w:cs="Times New Roman"/>
          <w:i/>
          <w:iCs/>
        </w:rPr>
        <w:t>mediante</w:t>
      </w:r>
      <w:r w:rsidR="007C5FAD">
        <w:rPr>
          <w:rFonts w:cs="Times New Roman"/>
        </w:rPr>
        <w:t xml:space="preserve"> poderosas agriculturas de exportação integradas a seus complexos industriais e reduzindo o “custo” da reprodução social.</w:t>
      </w:r>
      <w:r w:rsidR="008F3CA2">
        <w:rPr>
          <w:rFonts w:cs="Times New Roman"/>
        </w:rPr>
        <w:t/>
      </w:r>
      <w:r w:rsidR="00B91848">
        <w:rPr>
          <w:rFonts w:cs="Times New Roman"/>
        </w:rPr>
        <w:t/>
      </w:r>
      <w:r w:rsidR="00010404">
        <w:rPr>
          <w:rFonts w:cs="Times New Roman"/>
        </w:rPr>
        <w:t/>
      </w:r>
      <w:r w:rsidR="00B91848">
        <w:rPr>
          <w:rFonts w:cs="Times New Roman"/>
        </w:rPr>
        <w:t/>
      </w:r>
      <w:r w:rsidR="008E150E">
        <w:rPr>
          <w:rFonts w:cs="Times New Roman"/>
        </w:rPr>
        <w:t/>
      </w:r>
    </w:p>
    <w:p w14:paraId="44F6197D" w14:textId="3A99E42F" w:rsidR="00CF4A41" w:rsidRDefault="00A52B29" w:rsidP="00095337">
      <w:pPr>
        <w:jc w:val="both"/>
        <w:rPr>
          <w:rFonts w:cs="Times New Roman"/>
        </w:rPr>
      </w:pPr>
      <w:r>
        <w:rPr>
          <w:rFonts w:cs="Times New Roman"/>
        </w:rPr>
        <w:t xml:space="preserve">Maximizar o valor extraível do trabalho requer alimentação barata e, em última instância, uma “natureza barata” </w:t>
      </w:r>
      <w:r w:rsidR="000F1660">
        <w:rPr>
          <w:rFonts w:cs="Times New Roman"/>
        </w:rPr>
        <w:t/>
      </w:r>
      <w:r w:rsidR="00425CA3">
        <w:rPr>
          <w:rFonts w:cs="Times New Roman"/>
        </w:rPr>
        <w:t/>
      </w:r>
      <w:r w:rsidR="007C3E12">
        <w:rPr>
          <w:rFonts w:cs="Times New Roman"/>
        </w:rPr>
        <w:t/>
      </w:r>
      <w:r w:rsidR="00D874D2">
        <w:rPr>
          <w:rFonts w:cs="Times New Roman"/>
        </w:rPr>
        <w:t/>
      </w:r>
      <w:r w:rsidR="006C120E">
        <w:rPr>
          <w:rFonts w:cs="Times New Roman"/>
        </w:rPr>
        <w:t/>
      </w:r>
      <w:r w:rsidR="004641F9">
        <w:rPr>
          <w:rFonts w:cs="Times New Roman"/>
        </w:rPr>
        <w:t/>
      </w:r>
      <w:r w:rsidR="00511B07">
        <w:rPr>
          <w:rFonts w:cs="Times New Roman"/>
        </w:rPr>
        <w:t/>
      </w:r>
      <w:r w:rsidR="00511B07">
        <w:rPr>
          <w:rFonts w:cs="Times New Roman"/>
        </w:rPr>
        <w:fldChar w:fldCharType="begin"/>
      </w:r>
      <w:r w:rsidR="00511B07">
        <w:rPr>
          <w:rFonts w:cs="Times New Roman"/>
        </w:rPr>
        <w:instrText xml:space="preserve"> ADDIN ZOTERO_ITEM CSL_CITATION {"citationID":"6lPbJweJ","properties":{"unsorted":false,"formattedCitation":"(Moore, 2015)","plainCitation":"(Moore, 2015)","noteIndex":0},"citationItems":[{"id":13301,"uris":["http://zotero.org/users/10222123/items/VJXNSSKI"],"itemData":{"id":13301,"type":"book","abstract":"Both green and red analyses of capitalism's deepening contradictions have acknowledged the close relation of economic and environmental crises. But environmentalists have not yet fully integrated social and historical factors in their scathing indictment of the current disaster. Capitalism in the Web of Life will undoubtedly help to change that. Charting the recurrent crises, and long cyclical expansions of capitalism as socio-ecological process over the past six centuries, Jason Moore provides a groundbreaking theory and historical account of capitalism's development that comprehends the transformation of nature as constitutive of capital accumulation. Along the way, he moves beyond the society/nature distinction that limits so much environmentalism","call-number":"333.7","citation-key":"mooreCapitalismWebLife2015","ISBN":"978-1-78168-902-8","language":"eng","publisher":"Verso","publisher-place":"London","source":"BnF ISBN","title":"Capitalism in the web of life: ecology and the accumulation of capital","title-short":"Capitalism in the web of life","author":[{"family":"Moore","given":"Jason W."}],"issued":{"date-parts":[["2015"]]}}}],"schema":"https://github.com/citation-style-language/schema/raw/master/csl-citation.json"} </w:instrText>
      </w:r>
      <w:r w:rsidR="00511B07">
        <w:rPr>
          <w:rFonts w:cs="Times New Roman"/>
        </w:rPr>
        <w:fldChar w:fldCharType="separate"/>
      </w:r>
      <w:r w:rsidR="00511B07" w:rsidRPr="00511B07">
        <w:rPr>
          <w:rFonts w:cs="Times New Roman"/>
        </w:rPr>
        <w:t>(Moore, 2015)</w:t>
      </w:r>
      <w:r w:rsidR="00511B07">
        <w:rPr>
          <w:rFonts w:cs="Times New Roman"/>
        </w:rPr>
        <w:fldChar w:fldCharType="end"/>
      </w:r>
      <w:r w:rsidR="002A3BAB">
        <w:rPr>
          <w:rFonts w:cs="Times New Roman"/>
        </w:rPr>
        <w:t xml:space="preserve"> e trabalho reprodutivo sub-remunerado, realizado essencialmente por </w:t>
      </w:r>
      <w:r w:rsidR="00DC4C7E">
        <w:rPr>
          <w:rFonts w:cs="Times New Roman"/>
        </w:rPr>
        <w:t/>
      </w:r>
      <w:r w:rsidR="002A3BAB">
        <w:rPr>
          <w:rFonts w:cs="Times New Roman"/>
        </w:rPr>
        <w:t/>
      </w:r>
      <w:r w:rsidR="00AB2B00">
        <w:rPr>
          <w:rFonts w:cs="Times New Roman"/>
        </w:rPr>
        <w:t/>
      </w:r>
      <w:r w:rsidR="00505573">
        <w:rPr>
          <w:rFonts w:cs="Times New Roman"/>
        </w:rPr>
        <w:t/>
      </w:r>
      <w:r w:rsidR="00505573" w:rsidRPr="00FE5780">
        <w:rPr>
          <w:rFonts w:cs="Times New Roman"/>
          <w:i/>
          <w:iCs/>
        </w:rPr>
        <w:t>mulheres e nas colônias</w:t>
      </w:r>
      <w:r w:rsidR="00A7539A" w:rsidRPr="00FE5780">
        <w:rPr>
          <w:rFonts w:cs="Times New Roman"/>
          <w:i/>
          <w:iCs/>
        </w:rPr>
        <w:t/>
      </w:r>
      <w:r w:rsidR="00FE5780">
        <w:rPr>
          <w:rFonts w:cs="Times New Roman"/>
        </w:rPr>
        <w:t xml:space="preserve"> </w:t>
      </w:r>
      <w:r w:rsidR="009857B8">
        <w:rPr>
          <w:rFonts w:cs="Times New Roman"/>
        </w:rPr>
        <w:fldChar w:fldCharType="begin"/>
      </w:r>
      <w:r w:rsidR="009857B8">
        <w:rPr>
          <w:rFonts w:cs="Times New Roman"/>
        </w:rPr>
        <w:instrText xml:space="preserve"> ADDIN ZOTERO_ITEM CSL_CITATION {"citationID":"8FJJUbqg","properties":{"unsorted":false,"formattedCitation":"(Mies, 2014)","plainCitation":"(Mies, 2014)","noteIndex":0},"citationItems":[{"id":14214,"uris":["http://zotero.org/users/10222123/items/KQJSKPW2"],"itemData":{"id":14214,"type":"book","abstract":"'It is my thesis that this general production of life, or subsistence production - mainly performed through the nonwage labour of women and other nonwage labourers as slaves, contract workers and peasants in the colonies - constitutes the perennial basis upon which 'capitalist productive labour' can be built up and exploited'. First published in 1986, Maria Mies' progressive book was hailed as a major paradigm shift for feminist theory and remains a major contribution to development theory and practice today. Tracing the social origins of the sexual division of labor it offers a history of the related processes of colonization and \"housewifization\" and extends this analysis to the contemporary new international division of labor. Mies' theory of capitalist patriarchy has become even more relevant today; this new edition includes a substantial new introduction in which she both applies her theory to the new globalized world and answers her critics","call-number":"HD6060.6","citation-key":"miesPatriarchyAccumulationWorld2014","collection-title":"Critique influence change","ISBN":"978-1-78360-259-9","number-of-pages":"1","publisher":"Zed Books Limited","publisher-place":"London","source":"Library of Congress ISBN","title":"Patriarchy and accumulation on a world scale: women in the international division of labour","title-short":"Patriarchy and accumulation on a world scale","author":[{"family":"Mies","given":"Maria"}],"issued":{"date-parts":[["2014"]]}}}],"schema":"https://github.com/citation-style-language/schema/raw/master/csl-citation.json"} </w:instrText>
      </w:r>
      <w:r w:rsidR="009857B8">
        <w:rPr>
          <w:rFonts w:cs="Times New Roman"/>
        </w:rPr>
        <w:fldChar w:fldCharType="separate"/>
      </w:r>
      <w:r w:rsidR="009857B8" w:rsidRPr="009857B8">
        <w:rPr>
          <w:rFonts w:cs="Times New Roman"/>
        </w:rPr>
        <w:t>(Mies, 2014)</w:t>
      </w:r>
      <w:r w:rsidR="009857B8">
        <w:rPr>
          <w:rFonts w:cs="Times New Roman"/>
        </w:rPr>
        <w:fldChar w:fldCharType="end"/>
      </w:r>
      <w:r w:rsidR="001A29A9">
        <w:rPr>
          <w:rFonts w:cs="Times New Roman"/>
        </w:rPr>
        <w:t xml:space="preserve">, desde o trabalho alimentar doméstico até o trabalho camponês. Essa </w:t>
      </w:r>
      <w:r w:rsidR="009857B8">
        <w:rPr>
          <w:rFonts w:cs="Times New Roman"/>
        </w:rPr>
        <w:t/>
      </w:r>
      <w:r w:rsidR="00555D35">
        <w:rPr>
          <w:rFonts w:cs="Times New Roman"/>
        </w:rPr>
        <w:t/>
      </w:r>
      <w:r w:rsidR="00EA11F5">
        <w:rPr>
          <w:rFonts w:cs="Times New Roman"/>
        </w:rPr>
        <w:t/>
      </w:r>
      <w:r w:rsidR="006F156A">
        <w:rPr>
          <w:rFonts w:cs="Times New Roman"/>
        </w:rPr>
        <w:t/>
      </w:r>
      <w:r w:rsidR="00B8020A">
        <w:rPr>
          <w:rFonts w:cs="Times New Roman"/>
        </w:rPr>
        <w:t/>
      </w:r>
      <w:r w:rsidR="00C05C69">
        <w:rPr>
          <w:rFonts w:cs="Times New Roman"/>
        </w:rPr>
        <w:t/>
      </w:r>
      <w:r w:rsidR="006C120E">
        <w:rPr>
          <w:rFonts w:cs="Times New Roman"/>
        </w:rPr>
        <w:t/>
      </w:r>
      <w:r w:rsidR="003B3832">
        <w:rPr>
          <w:rFonts w:cs="Times New Roman"/>
        </w:rPr>
        <w:t/>
      </w:r>
      <w:r w:rsidR="003B3832">
        <w:rPr>
          <w:rFonts w:cs="Times New Roman"/>
          <w:i/>
          <w:iCs/>
        </w:rPr>
        <w:t>cheap food</w:t>
      </w:r>
      <w:proofErr w:type="spellStart"/>
      <w:r w:rsidR="003B3832" w:rsidRPr="003D1003">
        <w:rPr>
          <w:rFonts w:cs="Times New Roman"/>
          <w:i/>
          <w:iCs/>
        </w:rPr>
        <w:t/>
      </w:r>
      <w:proofErr w:type="spellEnd"/>
      <w:r w:rsidR="00C019D4">
        <w:rPr>
          <w:rFonts w:cs="Times New Roman"/>
        </w:rPr>
        <w:t xml:space="preserve"> é possibilitada pela mercantilização avançada dos produtos alimentares e da própria terra, em outras palavras, por uma forma de desenraizamento no sentido de </w:t>
      </w:r>
      <w:r w:rsidR="003A60D7">
        <w:rPr>
          <w:rFonts w:cs="Times New Roman"/>
        </w:rPr>
        <w:t/>
      </w:r>
      <w:r w:rsidR="003B3832">
        <w:rPr>
          <w:rFonts w:cs="Times New Roman"/>
        </w:rPr>
        <w:t/>
      </w:r>
      <w:r w:rsidR="00FE255F" w:rsidRPr="003B3832">
        <w:rPr>
          <w:rFonts w:cs="Times New Roman"/>
        </w:rPr>
        <w:t/>
      </w:r>
      <w:r w:rsidR="0083274F">
        <w:rPr>
          <w:rFonts w:cs="Times New Roman"/>
        </w:rPr>
        <w:t/>
      </w:r>
      <w:r w:rsidR="00D81258">
        <w:rPr>
          <w:rFonts w:cs="Times New Roman"/>
        </w:rPr>
        <w:t/>
      </w:r>
      <w:r w:rsidR="0013022F">
        <w:rPr>
          <w:rFonts w:cs="Times New Roman"/>
        </w:rPr>
        <w:t/>
      </w:r>
      <w:r w:rsidR="003B2954">
        <w:rPr>
          <w:rFonts w:cs="Times New Roman"/>
        </w:rPr>
        <w:t/>
      </w:r>
      <w:r w:rsidR="00C6631D">
        <w:rPr>
          <w:rFonts w:cs="Times New Roman"/>
        </w:rPr>
        <w:t/>
      </w:r>
      <w:r w:rsidR="00A01F23">
        <w:rPr>
          <w:rFonts w:cs="Times New Roman"/>
        </w:rPr>
        <w:t/>
      </w:r>
      <w:r w:rsidR="00C6631D">
        <w:rPr>
          <w:rFonts w:cs="Times New Roman"/>
        </w:rPr>
        <w:t/>
      </w:r>
      <w:r w:rsidR="00B234F6">
        <w:rPr>
          <w:rFonts w:cs="Times New Roman"/>
        </w:rPr>
        <w:t/>
      </w:r>
      <w:r w:rsidR="00824A81">
        <w:rPr>
          <w:rFonts w:cs="Times New Roman"/>
        </w:rPr>
        <w:fldChar w:fldCharType="begin"/>
      </w:r>
      <w:r w:rsidR="00511B07">
        <w:rPr>
          <w:rFonts w:cs="Times New Roman"/>
        </w:rPr>
        <w:instrText xml:space="preserve"> ADDIN ZOTERO_ITEM CSL_CITATION {"citationID":"goR0cSCG","properties":{"formattedCitation":"(Polanyi, 1944)","plainCitation":"(Polanyi, 1944)","dontUpdate":true,"noteIndex":0},"citationItems":[{"id":13401,"uris":["http://zotero.org/users/10222123/items/BE4HIYDB"],"itemData":{"id":13401,"type":"book","abstract":"\"La « Grande Transformation », Polanyi le montre, c'est ce qui est arrivé au monde à travers la grande crise économique et politique des années 1930 : la mort du libéralisme économique. Apparu un siècle plus tôt avec la révolution industrielle, ce libéralisme était une puissante innovation du monde occidental, un cas unique dans l'histoire de l'humanité : jusque-là élément secondaire de la vie économique, le marché s'est rendu indépendant des autres fonctions et posé en élément autorégulateur. L'innovation consistait essentiellement dans un mode de pensée. Pour la première fois, on se représentait une sorte particulière de phénomènes sociaux, les phénomènes économiques, comme séparés et constituant à eux seuls un système distinct auquel tout le reste du social - à commencer par la terre, le travail et l'argent - devait être soumis. On avait désocialisé l'économie ; la grande crise des années 1930 imposa au monde une resocialisation de l'économie. Cette analyse du marché comme institution non naturelle suscite désormais un véritable regain d'intérêt dans un monde globalisé où le néolibéralisme est à son tour entré dans une crise dont on attend qu'il en résulte une nouvelle « grande transformation ».\"--Page 4 de la couverture","citation-key":"polanyiGrandeTransformation1944","ISBN":"978-2-07-012474-9","language":"fre","note":"OCLC: 1354766366","publisher":"Gallimard","publisher-place":"Paris","source":"Open WorldCat","title":"La grande transformation: aux origines politiques et économiques de notre temps","title-short":"La grande transformation","author":[{"family":"Polanyi","given":"Karl"}],"issued":{"date-parts":[["1944"]]}}}],"schema":"https://github.com/citation-style-language/schema/raw/master/csl-citation.json"} </w:instrText>
      </w:r>
      <w:r w:rsidR="00824A81">
        <w:rPr>
          <w:rFonts w:cs="Times New Roman"/>
        </w:rPr>
        <w:fldChar w:fldCharType="separate"/>
      </w:r>
      <w:r w:rsidR="00824A81" w:rsidRPr="00824A81">
        <w:rPr>
          <w:rFonts w:cs="Times New Roman"/>
        </w:rPr>
        <w:t>Polanyi</w:t>
      </w:r>
      <w:r w:rsidR="00F73CF9">
        <w:rPr>
          <w:rFonts w:cs="Times New Roman"/>
        </w:rPr>
        <w:t xml:space="preserve"> </w:t>
      </w:r>
      <w:r w:rsidR="00F73CF9" w:rsidRPr="00824A81">
        <w:rPr>
          <w:rFonts w:cs="Times New Roman"/>
        </w:rPr>
        <w:t>(</w:t>
      </w:r>
      <w:r w:rsidR="00824A81" w:rsidRPr="00824A81">
        <w:rPr>
          <w:rFonts w:cs="Times New Roman"/>
        </w:rPr>
        <w:t>1944)</w:t>
      </w:r>
      <w:r w:rsidR="00824A81">
        <w:rPr>
          <w:rFonts w:cs="Times New Roman"/>
        </w:rPr>
        <w:fldChar w:fldCharType="end"/>
      </w:r>
      <w:r w:rsidR="00824A81">
        <w:rPr>
          <w:rFonts w:cs="Times New Roman"/>
        </w:rPr>
        <w:t xml:space="preserve">. A terra ocupa aí uma posição paradigmática: suporte ecológico e social da vida, ela é submetida a formas crescentes de apropriação exclusiva e valorização monetária, embora não tenha sido produzida para ser trocada, conforme aquilo que Polanyi chamava de mercadoria fictícia. De modo semelhante, a alimentação não vale apenas como bem mercantil. Ela é uma mercadoria “especial” </w:t>
      </w:r>
      <w:r w:rsidR="00A97585">
        <w:rPr>
          <w:rFonts w:cs="Times New Roman"/>
        </w:rPr>
        <w:t/>
      </w:r>
      <w:r w:rsidR="00A97585" w:rsidRPr="00A97585">
        <w:rPr>
          <w:rFonts w:cs="Times New Roman"/>
        </w:rPr>
        <w:t/>
      </w:r>
      <w:r w:rsidR="00CB44CC">
        <w:rPr>
          <w:rFonts w:cs="Times New Roman"/>
        </w:rPr>
        <w:t/>
      </w:r>
      <w:r w:rsidR="00A97585" w:rsidRPr="00A97585">
        <w:rPr>
          <w:rFonts w:cs="Times New Roman"/>
        </w:rPr>
        <w:t/>
      </w:r>
      <w:r w:rsidR="00217947">
        <w:rPr>
          <w:rFonts w:cs="Times New Roman"/>
        </w:rPr>
        <w:t/>
      </w:r>
      <w:r w:rsidR="00A97585" w:rsidRPr="00A97585">
        <w:rPr>
          <w:rFonts w:cs="Times New Roman"/>
        </w:rPr>
        <w:t/>
      </w:r>
      <w:r w:rsidR="00217947">
        <w:rPr>
          <w:rFonts w:cs="Times New Roman"/>
        </w:rPr>
        <w:t/>
      </w:r>
      <w:r w:rsidR="00A97585" w:rsidRPr="00A97585">
        <w:rPr>
          <w:rFonts w:cs="Times New Roman"/>
        </w:rPr>
        <w:t/>
      </w:r>
      <w:r w:rsidR="00433950" w:rsidRPr="00433950">
        <w:rPr>
          <w:rFonts w:cs="Times New Roman"/>
        </w:rPr>
        <w:t/>
      </w:r>
      <w:r w:rsidR="00374313">
        <w:rPr>
          <w:rFonts w:cs="Times New Roman"/>
        </w:rPr>
        <w:t/>
      </w:r>
      <w:r w:rsidR="00D41BAA">
        <w:rPr>
          <w:rFonts w:cs="Times New Roman"/>
        </w:rPr>
        <w:t/>
      </w:r>
      <w:r w:rsidR="000E51B5" w:rsidRPr="000E51B5">
        <w:rPr>
          <w:rFonts w:cs="Times New Roman"/>
        </w:rPr>
        <w:t/>
      </w:r>
      <w:r w:rsidR="003C3736">
        <w:rPr>
          <w:rFonts w:cs="Times New Roman"/>
        </w:rPr>
        <w:t/>
      </w:r>
      <w:r w:rsidR="00A14648">
        <w:rPr>
          <w:rFonts w:cs="Times New Roman"/>
        </w:rPr>
        <w:t/>
      </w:r>
      <w:r w:rsidR="005E1D65">
        <w:rPr>
          <w:rFonts w:cs="Times New Roman"/>
        </w:rPr>
        <w:fldChar w:fldCharType="begin"/>
      </w:r>
      <w:r w:rsidR="00511B07">
        <w:rPr>
          <w:rFonts w:cs="Times New Roman"/>
        </w:rPr>
        <w:instrText xml:space="preserve"> ADDIN ZOTERO_ITEM CSL_CITATION {"citationID":"Y4y9tYIH","properties":{"formattedCitation":"(Wilkinson, 2015)","plainCitation":"(Wilkinson, 2015)","noteIndex":0},"citationItems":[{"id":14197,"uris":["http://zotero.org/users/10222123/items/8JEGN7ED"],"itemData":{"id":14197,"type":"article-journal","abstract":"The world food system was developed under the auspices of free trade. Very quickly though free trade was countered with protectionism in the form of policies favoring national and cultural food security. The traumas of World War led to the introduction of international commitments on individual rights with respect to labor and the right to freedom from hunger. From the seventies, the pendulum swung back in favor of free trade, this time provoking a response in the form of fair and ethical trade. The introduction of new food markets promoted by social movements as from the eighties where values were attached to the conditions and processes of production rather than the product itself led to agriculture and food markets becoming imbued with ethical attributes. At the same time, an increasingly holistic concept of food security became adopted in international forums pointing to the need for policies which were no longer reducible to food aid. While for a period, broader ethical values were identified only with alternative food networks, as from the turn of the new millennium, under the collective umbrella of economic, social and environmental sustainability, they became adopted by the global agri-food players as the triple bottom line for all agricultural and food markets. Although a new consensus has been achieved on the centrality of sustainability and food security a range of tensions and conflicts persist over the relation between food security and trade, investment, biofuels, producer and consumer rights, animal welfare, nature and the environment.","citation-key":"wilkinsonFoodSecurityGlobal2015","container-title":"Global Food Security","DOI":"10.1016/j.gfs.2015.12.001","ISSN":"2211-9124","journalAbbreviation":"Global Food Security","page":"9-14","source":"ScienceDirect","title":"Food security and the global agrifood system: Ethical issues in historical and sociological perspective","title-short":"Food security and the global agrifood system","volume":"7","author":[{"family":"Wilkinson","given":"John"}],"issued":{"date-parts":[["2015",12,1]]}}}],"schema":"https://github.com/citation-style-language/schema/raw/master/csl-citation.json"} </w:instrText>
      </w:r>
      <w:r w:rsidR="005E1D65">
        <w:rPr>
          <w:rFonts w:cs="Times New Roman"/>
        </w:rPr>
        <w:fldChar w:fldCharType="separate"/>
      </w:r>
      <w:r w:rsidR="00DF6BD6" w:rsidRPr="00DF6BD6">
        <w:rPr>
          <w:rFonts w:cs="Times New Roman"/>
        </w:rPr>
        <w:t>(Wilkinson, 2015)</w:t>
      </w:r>
      <w:r w:rsidR="005E1D65">
        <w:rPr>
          <w:rFonts w:cs="Times New Roman"/>
        </w:rPr>
        <w:fldChar w:fldCharType="end"/>
      </w:r>
      <w:r w:rsidR="003E1548">
        <w:rPr>
          <w:rFonts w:cs="Times New Roman"/>
        </w:rPr>
        <w:t xml:space="preserve">, pois envolve a reprodução social e biológica imediata. Por isso, seu preço está submetido a uma expectativa social específica, incompatível com sua mercantilização completa, como observa </w:t>
      </w:r>
      <w:r w:rsidR="000E51B5" w:rsidRPr="000E51B5">
        <w:rPr>
          <w:rFonts w:cs="Times New Roman"/>
        </w:rPr>
        <w:t/>
      </w:r>
      <w:r w:rsidR="00D67CA9">
        <w:rPr>
          <w:rFonts w:cs="Times New Roman"/>
        </w:rPr>
        <w:t/>
      </w:r>
      <w:r w:rsidR="000E51B5" w:rsidRPr="000E51B5">
        <w:rPr>
          <w:rFonts w:cs="Times New Roman"/>
        </w:rPr>
        <w:t/>
      </w:r>
      <w:r w:rsidR="004048EA">
        <w:rPr>
          <w:rFonts w:cs="Times New Roman"/>
        </w:rPr>
        <w:t/>
      </w:r>
      <w:r w:rsidR="007627A2">
        <w:rPr>
          <w:rFonts w:cs="Times New Roman"/>
        </w:rPr>
        <w:t/>
      </w:r>
      <w:r w:rsidR="00A9734B">
        <w:rPr>
          <w:rFonts w:cs="Times New Roman"/>
        </w:rPr>
        <w:t/>
      </w:r>
      <w:r w:rsidR="00FA078A">
        <w:rPr>
          <w:rFonts w:cs="Times New Roman"/>
        </w:rPr>
        <w:t/>
      </w:r>
      <w:r w:rsidR="00A97B13">
        <w:rPr>
          <w:rFonts w:cs="Times New Roman"/>
        </w:rPr>
        <w:t/>
      </w:r>
      <w:r w:rsidR="00C153EC">
        <w:rPr>
          <w:rFonts w:cs="Times New Roman"/>
        </w:rPr>
        <w:t/>
      </w:r>
      <w:r w:rsidR="00F211C5">
        <w:rPr>
          <w:rFonts w:cs="Times New Roman"/>
        </w:rPr>
        <w:t/>
      </w:r>
      <w:r w:rsidR="00200178">
        <w:rPr>
          <w:rFonts w:cs="Times New Roman"/>
        </w:rPr>
        <w:fldChar w:fldCharType="begin"/>
      </w:r>
      <w:r w:rsidR="00003052">
        <w:rPr>
          <w:rFonts w:cs="Times New Roman"/>
        </w:rPr>
        <w:instrText xml:space="preserve"> ADDIN ZOTERO_ITEM CSL_CITATION {"citationID":"VGBPK6lz","properties":{"formattedCitation":"(Thompson, 1971)","plainCitation":"(Thompson, 1971)","dontUpdate":true,"noteIndex":0},"citationItems":[{"id":14295,"uris":["http://zotero.org/users/10222123/items/DD64BJVM"],"itemData":{"id":14295,"type":"article-journal","citation-key":"thompsonMoralEconomyEnglish1971","container-title":"Past &amp; Present","ISSN":"0031-2746","issue":"50","page":"76-136","publisher":"[Oxford University Press, The Past and Present Society]","source":"JSTOR","title":"The Moral Economy of the English Crowd in the Eighteenth Century","author":[{"family":"Thompson","given":"E. P."}],"issued":{"date-parts":[["1971"]]}}}],"schema":"https://github.com/citation-style-language/schema/raw/master/csl-citation.json"} </w:instrText>
      </w:r>
      <w:r w:rsidR="00200178">
        <w:rPr>
          <w:rFonts w:cs="Times New Roman"/>
        </w:rPr>
        <w:fldChar w:fldCharType="separate"/>
      </w:r>
      <w:r w:rsidR="00200178" w:rsidRPr="00200178">
        <w:rPr>
          <w:rFonts w:cs="Times New Roman"/>
        </w:rPr>
        <w:t>Thompson</w:t>
      </w:r>
      <w:r w:rsidR="00200178">
        <w:rPr>
          <w:rFonts w:cs="Times New Roman"/>
        </w:rPr>
        <w:t xml:space="preserve"> (</w:t>
      </w:r>
      <w:r w:rsidR="00200178" w:rsidRPr="00200178">
        <w:rPr>
          <w:rFonts w:cs="Times New Roman"/>
        </w:rPr>
        <w:t>1971)</w:t>
      </w:r>
      <w:r w:rsidR="00200178">
        <w:rPr>
          <w:rFonts w:cs="Times New Roman"/>
        </w:rPr>
        <w:fldChar w:fldCharType="end"/>
      </w:r>
      <w:r w:rsidR="00200178">
        <w:rPr>
          <w:rFonts w:cs="Times New Roman"/>
        </w:rPr>
        <w:t xml:space="preserve"> ao analisar os motins da fome como uma demanda por garantias sociais e políticas, uma verdadeira economia moral. Esse primeiro movimento de mercantilização suscita, em resposta, formas de contestação e proteção social. Atualmente, os </w:t>
      </w:r>
      <w:r w:rsidR="00365F7B">
        <w:rPr>
          <w:rFonts w:cs="Times New Roman"/>
        </w:rPr>
        <w:t/>
      </w:r>
      <w:r w:rsidR="00200178">
        <w:rPr>
          <w:rFonts w:cs="Times New Roman"/>
        </w:rPr>
        <w:t/>
      </w:r>
      <w:r w:rsidR="00DC3B5D">
        <w:rPr>
          <w:rFonts w:cs="Times New Roman"/>
        </w:rPr>
        <w:t/>
      </w:r>
      <w:r w:rsidR="005E1D65">
        <w:rPr>
          <w:rFonts w:cs="Times New Roman"/>
        </w:rPr>
        <w:t/>
      </w:r>
      <w:r w:rsidR="00DD51B5">
        <w:rPr>
          <w:rFonts w:cs="Times New Roman"/>
        </w:rPr>
        <w:t/>
      </w:r>
      <w:r w:rsidR="005E1D65">
        <w:rPr>
          <w:rFonts w:cs="Times New Roman"/>
        </w:rPr>
        <w:t/>
      </w:r>
      <w:r w:rsidR="00A0376F" w:rsidRPr="00A0376F">
        <w:rPr>
          <w:rFonts w:cs="Times New Roman"/>
        </w:rPr>
        <w:t/>
      </w:r>
      <w:r w:rsidR="0036003F">
        <w:rPr>
          <w:rFonts w:cs="Times New Roman"/>
        </w:rPr>
        <w:t/>
      </w:r>
      <w:r w:rsidR="00A0376F" w:rsidRPr="00A0376F">
        <w:rPr>
          <w:rFonts w:cs="Times New Roman"/>
        </w:rPr>
        <w:t/>
      </w:r>
      <w:r w:rsidR="008161F9">
        <w:rPr>
          <w:rFonts w:cs="Times New Roman"/>
        </w:rPr>
        <w:t/>
      </w:r>
      <w:r w:rsidR="00CF4A41">
        <w:rPr>
          <w:rFonts w:cs="Times New Roman"/>
        </w:rPr>
        <w:t/>
      </w:r>
      <w:r w:rsidR="00CF4A41" w:rsidRPr="00C9556D">
        <w:rPr>
          <w:rFonts w:cs="Times New Roman"/>
        </w:rPr>
        <w:t/>
      </w:r>
      <w:r w:rsidR="00CF4A41" w:rsidRPr="00C9556D">
        <w:rPr>
          <w:rFonts w:cs="Times New Roman"/>
          <w:i/>
          <w:iCs/>
        </w:rPr>
        <w:t>estudos agrários críticos</w:t>
      </w:r>
      <w:r w:rsidR="00CF4A41" w:rsidRPr="00C9556D">
        <w:rPr>
          <w:rFonts w:cs="Times New Roman"/>
        </w:rPr>
        <w:t xml:space="preserve"> reinterpretam esse contramovimento por meio das resistências camponesas à mercantilização agroalimentar, bem como das mobilizações transnacionais pela soberania alimentar, que também abrangem o consumo alimentar </w:t>
      </w:r>
      <w:r w:rsidR="004758FB">
        <w:rPr>
          <w:rFonts w:cs="Times New Roman"/>
        </w:rPr>
        <w:t/>
      </w:r>
      <w:r w:rsidR="00587F1D">
        <w:rPr>
          <w:rFonts w:cs="Times New Roman"/>
        </w:rPr>
        <w:t/>
      </w:r>
      <w:r w:rsidR="004758FB">
        <w:rPr>
          <w:rFonts w:cs="Times New Roman"/>
        </w:rPr>
        <w:t/>
      </w:r>
      <w:r w:rsidR="00CF4A41" w:rsidRPr="00C9556D">
        <w:rPr>
          <w:rFonts w:cs="Times New Roman"/>
        </w:rPr>
        <w:t/>
      </w:r>
      <w:r w:rsidR="005915E4" w:rsidRPr="00C9556D">
        <w:rPr>
          <w:rFonts w:cs="Times New Roman"/>
        </w:rPr>
        <w:fldChar w:fldCharType="begin"/>
      </w:r>
      <w:r w:rsidR="00511B07">
        <w:rPr>
          <w:rFonts w:cs="Times New Roman"/>
        </w:rPr>
        <w:instrText xml:space="preserve"> ADDIN ZOTERO_ITEM CSL_CITATION {"citationID":"prXWruD0","properties":{"formattedCitation":"(McMichael, 2023)","plainCitation":"(McMichael, 2023)","noteIndex":0},"citationItems":[{"id":14195,"uris":["http://zotero.org/users/10222123/items/XKWG5CF4"],"itemData":{"id":14195,"type":"article-journal","abstract":"Karl Polanyi’s concept of the ‘double movement’ refers to a reciprocal dialectic between market forces and social protections for citizens. It concerns ongoing struggle against individualization of people’s lives under capitalist marketization – which continues today. While Polanyi focused on protective responses to deepening commodification of land, labor, and money across the 1840s–1940s century, the ‘double movement’ remains in force in the contemporary neo-illiberal era, with notable significance for agrarian transformations. This essay reviews adaptations by agrarian counter-movements, NGOs, and analysts to new pressures on producers, farmworkers, Indigenous peoples, and landscapes across the world, and various associated interpretations and analyses.","citation-key":"mcmichaelUpdatingKarlPolanyis2023","container-title":"The Journal of Peasant Studies","DOI":"10.1080/03066150.2023.2219978","ISSN":"0306-6150","issue":"6","note":"_eprint: https://doi.org/10.1080/03066150.2023.2219978","page":"2123-2144","publisher":"Routledge","source":"Taylor and Francis+NEJM","title":"Updating Karl Polanyi’s ‘double movement’ for critical agrarian studies","volume":"50","author":[{"family":"McMichael","given":"Philip"}],"issued":{"date-parts":[["2023",9,19]]}}}],"schema":"https://github.com/citation-style-language/schema/raw/master/csl-citation.json"} </w:instrText>
      </w:r>
      <w:r w:rsidR="005915E4" w:rsidRPr="00C9556D">
        <w:rPr>
          <w:rFonts w:cs="Times New Roman"/>
        </w:rPr>
        <w:fldChar w:fldCharType="separate"/>
      </w:r>
      <w:r w:rsidR="005915E4" w:rsidRPr="00C9556D">
        <w:rPr>
          <w:rFonts w:cs="Times New Roman"/>
        </w:rPr>
        <w:t>(McMichael, 2023)</w:t>
      </w:r>
      <w:r w:rsidR="005915E4" w:rsidRPr="00C9556D">
        <w:rPr>
          <w:rFonts w:cs="Times New Roman"/>
        </w:rPr>
        <w:fldChar w:fldCharType="end"/>
      </w:r>
      <w:r w:rsidR="00CF4A41" w:rsidRPr="00C9556D">
        <w:rPr>
          <w:rFonts w:cs="Times New Roman"/>
        </w:rPr>
        <w:t xml:space="preserve">. Essas mobilizações são geralmente apreendidas no âmbito da abordagem dos </w:t>
      </w:r>
      <w:r w:rsidR="00483230">
        <w:rPr>
          <w:rFonts w:cs="Times New Roman"/>
          <w:i/>
          <w:iCs/>
        </w:rPr>
        <w:t xml:space="preserve">regimes alimentares internacionais </w:t>
      </w:r>
      <w:r w:rsidR="00FF04A0">
        <w:rPr>
          <w:rFonts w:cs="Times New Roman"/>
          <w:i/>
          <w:iCs/>
        </w:rPr>
        <w:t/>
      </w:r>
      <w:r w:rsidR="00F95970">
        <w:rPr>
          <w:rFonts w:cs="Times New Roman"/>
          <w:i/>
          <w:iCs/>
        </w:rPr>
        <w:fldChar w:fldCharType="begin"/>
      </w:r>
      <w:r w:rsidR="007C1A0D">
        <w:rPr>
          <w:rFonts w:cs="Times New Roman"/>
          <w:i/>
          <w:iCs/>
        </w:rPr>
        <w:instrText xml:space="preserve"> ADDIN ZOTERO_ITEM CSL_CITATION {"citationID":"z9MG4DNh","properties":{"formattedCitation":"(Friedmann &amp; McMichael, 1989)","plainCitation":"(Friedmann &amp; McMichael, 1989)","noteIndex":0},"citationItems":[{"id":5795,"uris":["http://zotero.org/users/10222123/items/JQL4Y3Z2"],"itemData":{"id":5795,"type":"article-journal","abstract":"Beginning with a theoretical and empirical critique of the prevailing \"ideal' development model of complementary intersectoral linkages between agriculture and industry, a fresh perspective on the historical impacts of agriculture on the global state system, based on the concept of \"food regime', is developed. The nineteenth century process of national-state formation is seen as a systemic process in which settler states and their agriculturalists provisioned the growing European working classes and became the basis of a new type of trade within a new international order. Late twentieth century agriculture is conceptualized in terms of an intensive system in which consumption relations have been reconstructed as part of the process of capital accumulation and of the growing power of capital undercutting state policies directing agriculture to national ends. -Authors","citation-key":"friedmannAgricultureStateSystem1989","container-title":"Sociologia Ruralis","DOI":"10.1111/j.1467-9523.1989.tb00360.x","journalAbbreviation":"Sociologia Ruralis","page":"93-117","source":"ResearchGate","title":"Agriculture and the State System: The Rise and Decline of National Agriculture","title-short":"‘Agriculture and the State System","volume":"29","author":[{"family":"Friedmann","given":"Harriet"},{"family":"McMichael","given":"Philip"}],"issued":{"date-parts":[["1989"]]}}}],"schema":"https://github.com/citation-style-language/schema/raw/master/csl-citation.json"} </w:instrText>
      </w:r>
      <w:r w:rsidR="00F95970">
        <w:rPr>
          <w:rFonts w:cs="Times New Roman"/>
          <w:i/>
          <w:iCs/>
        </w:rPr>
        <w:fldChar w:fldCharType="separate"/>
      </w:r>
      <w:r w:rsidR="007C1A0D" w:rsidRPr="007C1A0D">
        <w:rPr>
          <w:rFonts w:cs="Times New Roman"/>
        </w:rPr>
        <w:t>(Friedmann &amp; McMichael, 1989)</w:t>
      </w:r>
      <w:r w:rsidR="00F95970">
        <w:rPr>
          <w:rFonts w:cs="Times New Roman"/>
          <w:i/>
          <w:iCs/>
        </w:rPr>
        <w:fldChar w:fldCharType="end"/>
      </w:r>
      <w:r w:rsidR="00CF4A41" w:rsidRPr="00C9556D">
        <w:rPr>
          <w:rFonts w:cs="Times New Roman"/>
        </w:rPr>
        <w:t xml:space="preserve">, que insere a questão agrária na história do capitalismo mundial. Uma de suas expressões mais acabadas encontra-se na </w:t>
      </w:r>
      <w:r w:rsidR="005915E4" w:rsidRPr="00C9556D">
        <w:rPr>
          <w:rFonts w:cs="Times New Roman"/>
        </w:rPr>
        <w:t/>
      </w:r>
      <w:r w:rsidR="00CF4A41" w:rsidRPr="00C9556D">
        <w:rPr>
          <w:rFonts w:cs="Times New Roman"/>
        </w:rPr>
        <w:t/>
      </w:r>
      <w:r w:rsidR="005915E4" w:rsidRPr="00C9556D">
        <w:rPr>
          <w:rFonts w:cs="Times New Roman"/>
        </w:rPr>
        <w:t/>
      </w:r>
      <w:r w:rsidR="00CF4A41" w:rsidRPr="00C9556D">
        <w:rPr>
          <w:rFonts w:cs="Times New Roman"/>
        </w:rPr>
        <w:t/>
      </w:r>
      <w:r w:rsidR="00B47C21">
        <w:rPr>
          <w:rFonts w:cs="Times New Roman"/>
        </w:rPr>
        <w:t/>
      </w:r>
      <w:r w:rsidR="00CF4A41" w:rsidRPr="00C9556D">
        <w:rPr>
          <w:rFonts w:cs="Times New Roman"/>
        </w:rPr>
        <w:t/>
      </w:r>
      <w:r w:rsidR="00CF4A41" w:rsidRPr="00B47C21">
        <w:rPr>
          <w:rFonts w:cs="Times New Roman"/>
          <w:i/>
          <w:iCs/>
        </w:rPr>
        <w:t>Via Campesina</w:t>
      </w:r>
      <w:proofErr w:type="spellStart"/>
      <w:r w:rsidR="00CF4A41" w:rsidRPr="00B47C21">
        <w:rPr>
          <w:rFonts w:cs="Times New Roman"/>
          <w:i/>
          <w:iCs/>
        </w:rPr>
        <w:t/>
      </w:r>
      <w:proofErr w:type="spellEnd"/>
      <w:r w:rsidR="00C9556D">
        <w:rPr>
          <w:rFonts w:cs="Times New Roman"/>
        </w:rPr>
        <w:t xml:space="preserve"> </w:t>
      </w:r>
      <w:r w:rsidR="00D52809" w:rsidRPr="00C9556D">
        <w:rPr>
          <w:rFonts w:cs="Times New Roman"/>
        </w:rPr>
        <w:fldChar w:fldCharType="begin"/>
      </w:r>
      <w:r w:rsidR="00D52809" w:rsidRPr="00C9556D">
        <w:rPr>
          <w:rFonts w:cs="Times New Roman"/>
        </w:rPr>
        <w:instrText xml:space="preserve"> ADDIN ZOTERO_ITEM CSL_CITATION {"citationID":"Ai7bECdx","properties":{"formattedCitation":"(Mart\\uc0\\u237{}nez-Torres &amp; Rosset, 2010)","plainCitation":"(Martínez-Torres &amp; Rosset, 2010)","noteIndex":0},"citationItems":[{"id":14430,"uris":["http://zotero.org/users/10222123/items/DN39EF9H"],"itemData":{"id":14430,"type":"article-journal","abstract":"The origin and evolution of the transnational peasant movement La Vía Campesina is analysed through five evolutionary stages. In the 1980s the withdrawal of the state from rural areas simultaneously weakened corporativist and clientelist control over rural organisations, even as conditions worsened in the countryside. This gave rise to a new generation of more autonomous peasant organisations, who saw the origins of their similar problems as largely coming from beyond the national borders of weakened nation-states. A transnational social movement defending peasant life, La Vía Campesina emerged out of these autonomous organisations, first in Latin America, and then at a global scale, during the 1980s and early 1990s (phase 1). Subsequent stages saw leaders of peasant organisations take their place at the table in international debates (1992–1999, phase 2), muscling aside other actors who sought to speak on their behalf; take on a leadership role in global struggles (2000–2003, phase 3); and engage in internal strengthening (2004–2008, phase 4). More recently (late 2008–present, phase 5) the movement has taken on gender issues more squarely and defined itself more clearly in opposition to transnational corporations. Particular emphasis is given to La Vía Campesina's fight to gain legitimacy for the food sovereignty paradigm, to its internal structure, and to the ways in which the (re)construction of a shared peasant identity is a key glue that holds the struggle together despite widely different internal cultures, creating a true peasant internationalism.","citation-key":"martinez-torresViaCampesinaBirth2010","container-title":"The Journal of Peasant Studies","DOI":"10.1080/03066150903498804","ISSN":"0306-6150","issue":"1","note":"_eprint: https://doi.org/10.1080/03066150903498804","page":"149-175","publisher":"Routledge","source":"Taylor and Francis+NEJM","title":"La Vía Campesina: the birth and evolution of a transnational social movement","title-short":"La Vía Campesina","volume":"37","author":[{"family":"Martínez-Torres","given":"María Elena"},{"family":"Rosset","given":"Peter M."}],"issued":{"date-parts":[["2010",1,1]]}}}],"schema":"https://github.com/citation-style-language/schema/raw/master/csl-citation.json"} </w:instrText>
      </w:r>
      <w:r w:rsidR="00D52809" w:rsidRPr="00C9556D">
        <w:rPr>
          <w:rFonts w:cs="Times New Roman"/>
        </w:rPr>
        <w:fldChar w:fldCharType="separate"/>
      </w:r>
      <w:r w:rsidR="00D52809" w:rsidRPr="00C9556D">
        <w:rPr>
          <w:rFonts w:cs="Times New Roman"/>
          <w:kern w:val="0"/>
        </w:rPr>
        <w:t>(Martínez-Torres &amp; Rosset, 2010)</w:t>
      </w:r>
      <w:r w:rsidR="00D52809" w:rsidRPr="00C9556D">
        <w:rPr>
          <w:rFonts w:cs="Times New Roman"/>
        </w:rPr>
        <w:fldChar w:fldCharType="end"/>
      </w:r>
      <w:r w:rsidR="00CF4A41" w:rsidRPr="00C9556D">
        <w:rPr>
          <w:rFonts w:cs="Times New Roman"/>
        </w:rPr>
        <w:t>.</w:t>
      </w:r>
    </w:p>
    <w:p w14:paraId="54E772B1" w14:textId="138E07E7" w:rsidR="0070005A" w:rsidRDefault="00DE1880" w:rsidP="00095337">
      <w:pPr>
        <w:jc w:val="both"/>
        <w:rPr>
          <w:rFonts w:cs="Times New Roman"/>
        </w:rPr>
      </w:pPr>
      <w:r>
        <w:rPr>
          <w:rFonts w:cs="Times New Roman"/>
        </w:rPr>
        <w:t>Nas escalas nacionais, esse duplo movimento provoca reconfigurações do campo político que levam à formação, por mudança institucional cumulativa, de Sistemas Nacionais de Proteção Social Alimentar (SNPSA).</w:t>
      </w:r>
      <w:r w:rsidR="001A0603">
        <w:rPr>
          <w:rFonts w:cs="Times New Roman"/>
        </w:rPr>
        <w:t/>
      </w:r>
      <w:r>
        <w:rPr>
          <w:rFonts w:cs="Times New Roman"/>
        </w:rPr>
        <w:t/>
      </w:r>
      <w:r w:rsidR="001A0603">
        <w:rPr>
          <w:rFonts w:cs="Times New Roman"/>
        </w:rPr>
        <w:t/>
      </w:r>
      <w:r>
        <w:rPr>
          <w:rFonts w:cs="Times New Roman"/>
        </w:rPr>
        <w:t/>
      </w:r>
      <w:r w:rsidR="00497943">
        <w:rPr>
          <w:rFonts w:cs="Times New Roman"/>
        </w:rPr>
        <w:t/>
      </w:r>
      <w:r w:rsidR="00D4009B">
        <w:rPr>
          <w:rFonts w:cs="Times New Roman"/>
        </w:rPr>
        <w:t/>
      </w:r>
      <w:r w:rsidR="00E53544">
        <w:rPr>
          <w:rFonts w:cs="Times New Roman"/>
        </w:rPr>
        <w:t/>
      </w:r>
      <w:r w:rsidR="00D4009B">
        <w:rPr>
          <w:rFonts w:cs="Times New Roman"/>
        </w:rPr>
        <w:t/>
      </w:r>
      <w:r w:rsidR="004D71A5">
        <w:rPr>
          <w:rFonts w:cs="Times New Roman"/>
        </w:rPr>
        <w:t/>
      </w:r>
      <w:r w:rsidR="00F8633B">
        <w:rPr>
          <w:rFonts w:cs="Times New Roman"/>
        </w:rPr>
        <w:t/>
      </w:r>
      <w:r w:rsidR="004D71A5">
        <w:rPr>
          <w:rFonts w:cs="Times New Roman"/>
        </w:rPr>
        <w:t/>
      </w:r>
      <w:r w:rsidR="0084329D">
        <w:rPr>
          <w:rFonts w:cs="Times New Roman"/>
        </w:rPr>
        <w:t/>
      </w:r>
      <w:r w:rsidR="00954BE1">
        <w:rPr>
          <w:rFonts w:cs="Times New Roman"/>
        </w:rPr>
        <w:t/>
      </w:r>
      <w:r w:rsidR="0084329D">
        <w:rPr>
          <w:rFonts w:cs="Times New Roman"/>
        </w:rPr>
        <w:t/>
      </w:r>
      <w:r w:rsidR="00942BEF">
        <w:rPr>
          <w:rFonts w:cs="Times New Roman"/>
        </w:rPr>
        <w:t/>
      </w:r>
      <w:r w:rsidR="00AF3AC8">
        <w:rPr>
          <w:rFonts w:cs="Times New Roman"/>
        </w:rPr>
        <w:t/>
      </w:r>
      <w:r w:rsidR="004D71A5">
        <w:rPr>
          <w:rFonts w:cs="Times New Roman"/>
        </w:rPr>
        <w:t/>
      </w:r>
      <w:r w:rsidR="00B839F1">
        <w:rPr>
          <w:rFonts w:cs="Times New Roman"/>
        </w:rPr>
        <w:t/>
      </w:r>
      <w:r w:rsidR="008A1942">
        <w:rPr>
          <w:rFonts w:cs="Times New Roman"/>
        </w:rPr>
        <w:t/>
      </w:r>
      <w:r w:rsidR="00070A6F">
        <w:rPr>
          <w:rFonts w:cs="Times New Roman"/>
        </w:rPr>
        <w:t/>
      </w:r>
      <w:r w:rsidR="009B46C3">
        <w:rPr>
          <w:rFonts w:cs="Times New Roman"/>
        </w:rPr>
        <w:t/>
      </w:r>
      <w:r w:rsidR="00070A6F">
        <w:rPr>
          <w:rFonts w:cs="Times New Roman"/>
        </w:rPr>
        <w:t/>
      </w:r>
      <w:r w:rsidR="009B46C3">
        <w:rPr>
          <w:rFonts w:cs="Times New Roman"/>
        </w:rPr>
        <w:t/>
      </w:r>
      <w:r w:rsidR="00070A6F">
        <w:rPr>
          <w:rFonts w:cs="Times New Roman"/>
        </w:rPr>
        <w:t/>
      </w:r>
      <w:r w:rsidR="00BF1164">
        <w:rPr>
          <w:rFonts w:cs="Times New Roman"/>
        </w:rPr>
        <w:t/>
      </w:r>
      <w:r w:rsidR="00B02ECF">
        <w:rPr>
          <w:rFonts w:cs="Times New Roman"/>
        </w:rPr>
        <w:t/>
      </w:r>
      <w:r w:rsidR="0010604C">
        <w:rPr>
          <w:rFonts w:cs="Times New Roman"/>
        </w:rPr>
        <w:t/>
      </w:r>
      <w:r w:rsidR="00C7243B" w:rsidRPr="00C7243B">
        <w:t xml:space="preserve"> Definimos aqui os SNPSA não como o sistema alimentar em seu conjunto </w:t>
      </w:r>
      <w:r w:rsidR="007C1A0D">
        <w:t/>
      </w:r>
      <w:r w:rsidR="007C1A0D">
        <w:fldChar w:fldCharType="begin"/>
      </w:r>
      <w:r w:rsidR="007C1A0D">
        <w:instrText xml:space="preserve"> ADDIN ZOTERO_ITEM CSL_CITATION {"citationID":"F0pmWShp","properties":{"unsorted":false,"formattedCitation":"(Malassis, 2002)","plainCitation":"(Malassis, 2002)","noteIndex":0},"citationItems":[{"id":14205,"uris":["http://zotero.org/users/10222123/items/3EP5ECR4"],"itemData":{"id":14205,"type":"book","abstract":"Louis Malassis, président d'Agropolis-Muséum, nous raconte une histoire vieille de trois millions d'années : l'histoire alimentaire. Malgré des progrès spectaculaires, les questions demeurent : l'homme gagnera-t-il son combat contre la faim ? La nature pourra-t-elle toujours répondre aux besoins de l'humanité ?","citation-key":"malassisNourrirHommesExpose2002","ISBN":"978-2-08-035171-5","language":"Français","number-of-pages":"127","publisher":"Flammarion","publisher-place":"Paris","source":"Amazon","title":"Nourrir les hommes: Un exposé pour comprendre, un essai pour réfléchir","title-short":"Nourrir les hommes","author":[{"family":"Malassis","given":"Louis"}],"issued":{"date-parts":[["2002"]]}}}],"schema":"https://github.com/citation-style-language/schema/raw/master/csl-citation.json"} </w:instrText>
      </w:r>
      <w:r w:rsidR="007C1A0D">
        <w:fldChar w:fldCharType="separate"/>
      </w:r>
      <w:r w:rsidR="007C1A0D" w:rsidRPr="007C1A0D">
        <w:rPr>
          <w:rFonts w:cs="Times New Roman"/>
        </w:rPr>
        <w:t>(Malassis, 2002)</w:t>
      </w:r>
      <w:r w:rsidR="007C1A0D">
        <w:fldChar w:fldCharType="end"/>
      </w:r>
      <w:r w:rsidR="00C7243B" w:rsidRPr="00C7243B">
        <w:t xml:space="preserve">, nem como o simples agregado das políticas alimentares, nem ainda como o equivalente já realizado, ou </w:t>
      </w:r>
      <w:r w:rsidR="009A77E6">
        <w:t/>
      </w:r>
      <w:r w:rsidR="00C7243B" w:rsidRPr="00C7243B">
        <w:t/>
      </w:r>
      <w:r w:rsidR="00C7243B">
        <w:t/>
      </w:r>
      <w:r w:rsidR="00C7243B">
        <w:rPr>
          <w:i/>
          <w:iCs/>
        </w:rPr>
        <w:t>já existente</w:t>
      </w:r>
      <w:r w:rsidR="00C7243B">
        <w:t xml:space="preserve"> </w:t>
      </w:r>
      <w:r w:rsidR="00D56579">
        <w:fldChar w:fldCharType="begin"/>
      </w:r>
      <w:r w:rsidR="00D56579">
        <w:instrText xml:space="preserve"> ADDIN ZOTERO_ITEM CSL_CITATION {"citationID":"e8woxXRU","properties":{"formattedCitation":"(Delouette, Vasseur, &amp; Pates, 2025)","plainCitation":"(Delouette, Vasseur, &amp; Pates, 2025)","noteIndex":0},"citationItems":[{"id":13881,"uris":["http://zotero.org/users/10222123/items/N9IN8JZH"],"itemData":{"id":13881,"type":"article-journal","citation-key":"delouetteProtectionSocialeLalimentation2025","container-title":"Revue française des affaires sociales","ISSN":"0035-2985","issue":"4","language":"fr","page":"209-230","publisher":"DREES Ministère de la santé","source":"shs.cairn.info","title":"Protection sociale de l’alimentation : l’enjeu des financements pour construire des communs socio-écologiques","title-short":"Protection sociale de l’alimentation","volume":"254","author":[{"family":"Delouette","given":"Ilona"},{"family":"Vasseur","given":"Cécile"},{"family":"Pates","given":"Collectif"}],"issued":{"date-parts":[["2025"]]}}}],"schema":"https://github.com/citation-style-language/schema/raw/master/csl-citation.json"} </w:instrText>
      </w:r>
      <w:r w:rsidR="00D56579">
        <w:fldChar w:fldCharType="separate"/>
      </w:r>
      <w:r w:rsidR="00D56579" w:rsidRPr="00D56579">
        <w:rPr>
          <w:rFonts w:cs="Times New Roman"/>
        </w:rPr>
        <w:t>(Delouette, Vasseur, &amp; Pates, 2025)</w:t>
      </w:r>
      <w:r w:rsidR="00D56579">
        <w:fldChar w:fldCharType="end"/>
      </w:r>
      <w:r w:rsidR="00C7243B" w:rsidRPr="00C7243B">
        <w:t xml:space="preserve">, da proteção social da alimentação. Entendemo-los mais precisamente como os sistemas de mediações institucionais por meio dos quais o Estado, as coletividades territoriais, as organizações sociais e certos dispositivos mercantis socialmente regulados desmercantilizam parcialmente o acesso à alimentação e a reprodução das condições produtivas agrícolas, a fim de conter os efeitos socialmente desestabilizadores da mercantilização conjunta da terra e dos alimentos. Essa definição permite distinguir analiticamente três níveis frequentemente confundidos: o sistema alimentar como totalidade socioeconômica, concebível no plano internacional; o SNPSA como sistema estrutural de mediações que organiza a reprodução e a coexistência de lógicas opostas no plano nacional; e a segurança/soberania alimentar como projetos políticos concorrentes </w:t>
      </w:r>
      <w:r w:rsidR="004A6FD6">
        <w:t/>
      </w:r>
      <w:r w:rsidR="00C7243B" w:rsidRPr="00C7243B">
        <w:t/>
      </w:r>
      <w:r w:rsidR="002E7CCA">
        <w:t/>
      </w:r>
      <w:r w:rsidR="00C7243B" w:rsidRPr="00C7243B">
        <w:t/>
      </w:r>
      <w:r w:rsidR="00C7243B" w:rsidRPr="00C7243B">
        <w:lastRenderedPageBreak/>
        <w:t/>
      </w:r>
      <w:r w:rsidR="004A6FD6" w:rsidRPr="00C7243B">
        <w:t/>
      </w:r>
      <w:r w:rsidR="00C7243B" w:rsidRPr="00C7243B">
        <w:t/>
      </w:r>
      <w:r w:rsidR="003D6869">
        <w:t/>
      </w:r>
      <w:r w:rsidR="00C7243B" w:rsidRPr="00C7243B">
        <w:t/>
      </w:r>
      <w:r w:rsidR="00E36965">
        <w:t/>
      </w:r>
      <w:r w:rsidR="00C7243B" w:rsidRPr="00C7243B">
        <w:t/>
      </w:r>
      <w:r w:rsidR="000256EB">
        <w:t/>
      </w:r>
      <w:r w:rsidR="00C7243B" w:rsidRPr="00C7243B">
        <w:t/>
      </w:r>
      <w:r w:rsidR="009F2045">
        <w:t/>
      </w:r>
      <w:r w:rsidR="009956AB">
        <w:t/>
      </w:r>
      <w:r w:rsidR="00A468DA">
        <w:t/>
      </w:r>
      <w:r w:rsidR="008F702F">
        <w:t/>
      </w:r>
      <w:r w:rsidR="00A468DA">
        <w:t/>
      </w:r>
      <w:r w:rsidR="003D34DA">
        <w:t/>
      </w:r>
      <w:r w:rsidR="00C16042">
        <w:t/>
      </w:r>
      <w:r w:rsidR="00C7243B" w:rsidRPr="00C7243B">
        <w:t/>
      </w:r>
      <w:r w:rsidR="006702EE">
        <w:t/>
      </w:r>
      <w:r w:rsidR="009352F9">
        <w:t/>
      </w:r>
      <w:r w:rsidR="006702EE">
        <w:t/>
      </w:r>
      <w:r w:rsidR="00F63E6D">
        <w:t/>
      </w:r>
      <w:r w:rsidR="006702EE">
        <w:t/>
      </w:r>
      <w:r w:rsidR="00F378B0">
        <w:t/>
      </w:r>
      <w:r w:rsidR="00C7243B" w:rsidRPr="00C7243B">
        <w:t/>
      </w:r>
      <w:r w:rsidR="008A7BB3">
        <w:t/>
      </w:r>
      <w:r w:rsidR="006B0AE6">
        <w:t/>
      </w:r>
      <w:r w:rsidR="00C7243B" w:rsidRPr="00C7243B">
        <w:t/>
      </w:r>
      <w:r w:rsidR="006B0AE6">
        <w:t/>
      </w:r>
      <w:r w:rsidR="00732512">
        <w:t/>
      </w:r>
      <w:r w:rsidR="001E7EBD">
        <w:fldChar w:fldCharType="begin"/>
      </w:r>
      <w:r w:rsidR="001E7EBD">
        <w:instrText xml:space="preserve"> ADDIN ZOTERO_ITEM CSL_CITATION {"citationID":"j2No56Vp","properties":{"formattedCitation":"(Bernstein, 2015; Wittman &amp; Blesh, 2017)","plainCitation":"(Bernstein, 2015; Wittman &amp; Blesh, 2017)","noteIndex":0},"citationItems":[{"id":5963,"uris":["http://zotero.org/users/10222123/items/AQYUF8IM"],"itemData":{"id":5963,"type":"paper-conference","abstract":"This paper aims to provide a systematic albeit selective survey of food regimes and food regime analysis since the seminal article by Harriet Friedmann and Philip McMichael in 1989 and further traced through their subsequent (individual) work. It identifies eight key elements or dimensions of food regime analysis, namely the international state system; international divisions of labour and patterns of trade; the ‘rules’ and discursive (ideological) legitimations of different food regimes; relations between agriculture and industry, including technical and environmental change in farming; dominant forms of capital and their modalities of accumulation; social forces (other than capitals and states); the tensions and contradictions of specific food regimes; and transitions between food regimes. These are used to discuss and summarise three food regimes in the history of world capitalism to date: a first regime from 1870 to 1914, a second regime from 1945-1973, and a third corporate food regime from the 1980s proposed by McMichael within the period of neoliberal globalisation. Issues of theory, method and evidence are noted in the course of the exposition and pulled together in a final section assessing the achievements of food regime analysis and some of its problems.","citation-key":"bernsteinFoodRegimesFood2015","event-title":"Land grabbing, conflict and agrarian‐environmental transformations: perspectives from East and Southeast Asia","language":"en","publisher-place":"Chiang Mai, Thailand","source":"Zotero","title":"Food Regimes and Food Regime Analysis: A Selective Survey","author":[{"family":"Bernstein","given":"Henry"}],"issued":{"date-parts":[["2015",4]]}}},{"id":14266,"uris":["http://zotero.org/users/10222123/items/VRZEJT3M"],"itemData":{"id":14266,"type":"article-journal","abstract":"The global discourse on food sovereignty suggests several mechanisms for improving food security and agricultural livelihoods, including redistributive land reform and restructuring of markets to improve food distribution and access. In Brazil, the Fome Zero (Zero Hunger) social welfare programme has created innovative links between public nutrition and food security programmes and rural development initiatives through mediated market support for the family farm sector. We report on a participatory assessment of the experience of land reform beneﬁciaries in seven municipalities in Mato Grosso, Brazil, who were contracted to produce food for the Programa de Aquisição de Alimentos (Food Procurement Programme, PAA) and the Programa Nacional de Alimentação Escolar (National School Feeding Programme, PNAE) under the umbrella of Fome Zero. This analysis offers insight into the opportunities and challenges related to participation in mediated ‘farm-to-institution’ food procurement programmes, and assesses their inﬂuence on key food sovereignty principles, including agro-ecological transition, increased market stability and farmer autonomy.","citation-key":"wittmanFoodSovereigntyOme2017","container-title":"Journal of Agrarian Change","DOI":"10.1111/joac.12131","ISSN":"1471-0358, 1471-0366","issue":"1","journalAbbreviation":"Journal of Agrarian Change","language":"en","page":"81-105","source":"DOI.org (Crossref)","title":"Food Sovereignty and Fome Zero: Connecting Public Food Procurement Programmes to Sustainable Rural Development in Brazil","title-short":"Food Sovereignty and &lt;i&gt; &lt;span style=\"font-variant&lt;/i&gt;","volume":"17","author":[{"family":"Wittman","given":"Hannah"},{"family":"Blesh","given":"Jennifer"}],"issued":{"date-parts":[["2017",1]]}}}],"schema":"https://github.com/citation-style-language/schema/raw/master/csl-citation.json"} </w:instrText>
      </w:r>
      <w:r w:rsidR="001E7EBD">
        <w:fldChar w:fldCharType="separate"/>
      </w:r>
      <w:r w:rsidR="001E7EBD" w:rsidRPr="001E7EBD">
        <w:rPr>
          <w:rFonts w:cs="Times New Roman"/>
        </w:rPr>
        <w:t>(Bernstein, 2015; Wittman &amp; Blesh, 2017)</w:t>
      </w:r>
      <w:r w:rsidR="001E7EBD">
        <w:fldChar w:fldCharType="end"/>
      </w:r>
      <w:r w:rsidR="001E7EBD">
        <w:t xml:space="preserve">, parcialmente convertidos em </w:t>
      </w:r>
      <w:r w:rsidR="006B0AE6">
        <w:t/>
      </w:r>
      <w:r w:rsidR="006B0AE6" w:rsidRPr="0089551A">
        <w:rPr>
          <w:i/>
          <w:iCs/>
        </w:rPr>
        <w:t>referenciais</w:t>
      </w:r>
      <w:r w:rsidR="0089551A">
        <w:t xml:space="preserve"> de ação pública.</w:t>
      </w:r>
    </w:p>
    <w:p w14:paraId="7A97A891" w14:textId="09079DA6" w:rsidR="0062427B" w:rsidRDefault="008B3DC4" w:rsidP="00095337">
      <w:pPr>
        <w:jc w:val="both"/>
        <w:rPr>
          <w:rFonts w:cs="Times New Roman"/>
        </w:rPr>
      </w:pPr>
      <w:r>
        <w:rPr>
          <w:rFonts w:cs="Times New Roman"/>
        </w:rPr>
        <w:t xml:space="preserve">Existem numerosas camadas de instrumentos de políticas públicas implementados pelo Estado ou pelas coletividades locais, que participam de um contramovimento à mercantilização do acesso à alimentação. Podemos agrupá-los por </w:t>
      </w:r>
      <w:r w:rsidR="00457D09">
        <w:rPr>
          <w:rFonts w:cs="Times New Roman"/>
        </w:rPr>
        <w:t/>
      </w:r>
      <w:r w:rsidR="00A26381">
        <w:rPr>
          <w:rFonts w:cs="Times New Roman"/>
        </w:rPr>
        <w:t/>
      </w:r>
      <w:r w:rsidR="00CA05C0">
        <w:rPr>
          <w:rFonts w:cs="Times New Roman"/>
        </w:rPr>
        <w:t/>
      </w:r>
      <w:r w:rsidR="00D56D74">
        <w:rPr>
          <w:rFonts w:cs="Times New Roman"/>
        </w:rPr>
        <w:t/>
      </w:r>
      <w:r w:rsidR="004B09B0">
        <w:rPr>
          <w:rFonts w:cs="Times New Roman"/>
        </w:rPr>
        <w:t/>
      </w:r>
      <w:r w:rsidR="00D56D74">
        <w:rPr>
          <w:rFonts w:cs="Times New Roman"/>
        </w:rPr>
        <w:t/>
      </w:r>
      <w:r w:rsidR="00286FCC">
        <w:rPr>
          <w:rFonts w:cs="Times New Roman"/>
        </w:rPr>
        <w:t/>
      </w:r>
      <w:r w:rsidR="002C14DE">
        <w:rPr>
          <w:rFonts w:cs="Times New Roman"/>
        </w:rPr>
        <w:t/>
      </w:r>
      <w:r w:rsidR="00882853">
        <w:rPr>
          <w:rFonts w:cs="Times New Roman"/>
        </w:rPr>
        <w:t/>
      </w:r>
      <w:r w:rsidR="002D747D">
        <w:rPr>
          <w:rFonts w:cs="Times New Roman"/>
        </w:rPr>
        <w:t/>
      </w:r>
      <w:r w:rsidR="00CA613F">
        <w:rPr>
          <w:rFonts w:cs="Times New Roman"/>
        </w:rPr>
        <w:t/>
      </w:r>
      <w:r w:rsidR="00B47C21">
        <w:rPr>
          <w:rFonts w:cs="Times New Roman"/>
        </w:rPr>
        <w:t/>
      </w:r>
      <w:r w:rsidR="0035772C">
        <w:rPr>
          <w:rFonts w:cs="Times New Roman"/>
        </w:rPr>
        <w:t/>
      </w:r>
      <w:r w:rsidR="000E2E69">
        <w:rPr>
          <w:rFonts w:cs="Times New Roman"/>
        </w:rPr>
        <w:t/>
      </w:r>
      <w:r w:rsidR="0072114E">
        <w:rPr>
          <w:rFonts w:cs="Times New Roman"/>
        </w:rPr>
        <w:t/>
      </w:r>
      <w:r w:rsidR="00B138EF">
        <w:rPr>
          <w:rFonts w:cs="Times New Roman"/>
        </w:rPr>
        <w:t/>
      </w:r>
      <w:r w:rsidR="00CB7D99">
        <w:rPr>
          <w:rFonts w:cs="Times New Roman"/>
        </w:rPr>
        <w:t/>
      </w:r>
      <w:r w:rsidR="00B64D4D">
        <w:rPr>
          <w:rFonts w:cs="Times New Roman"/>
          <w:i/>
          <w:iCs/>
        </w:rPr>
        <w:t>setores</w:t>
      </w:r>
      <w:r w:rsidR="004B596B">
        <w:rPr>
          <w:rFonts w:cs="Times New Roman"/>
          <w:i/>
          <w:iCs/>
        </w:rPr>
        <w:t/>
      </w:r>
      <w:r w:rsidR="00FA0E4B" w:rsidRPr="00483230">
        <w:rPr>
          <w:rStyle w:val="Appelnotedebasdep"/>
        </w:rPr>
        <w:footnoteReference w:id="2"/>
      </w:r>
      <w:r w:rsidR="00B64D4D">
        <w:rPr>
          <w:rFonts w:cs="Times New Roman"/>
        </w:rPr>
        <w:t xml:space="preserve"> da ação pública </w:t>
      </w:r>
      <w:r w:rsidR="00E03DFE">
        <w:rPr>
          <w:rFonts w:cs="Times New Roman"/>
        </w:rPr>
        <w:t/>
      </w:r>
      <w:r w:rsidR="00E03DFE">
        <w:rPr>
          <w:rFonts w:cs="Times New Roman"/>
        </w:rPr>
        <w:fldChar w:fldCharType="begin"/>
      </w:r>
      <w:r w:rsidR="00511B07">
        <w:rPr>
          <w:rFonts w:cs="Times New Roman"/>
        </w:rPr>
        <w:instrText xml:space="preserve"> ADDIN ZOTERO_ITEM CSL_CITATION {"citationID":"LuSootM1","properties":{"formattedCitation":"(Muller, 2005)","plainCitation":"(Muller, 2005)","noteIndex":0},"citationItems":[{"id":14202,"uris":["http://zotero.org/users/10222123/items/34QTBHZN"],"itemData":{"id":14202,"type":"article-journal","citation-key":"mullerEsquisseDuneTheorie2005","container-title":"Revue française de science politique","DOI":"10.3917/rfsp.551.0155","ISSN":"0035-2950","issue":"1","language":"fr","page":"155-187","publisher":"Presses de Sciences Po","section":"Sociologie","source":"shs.cairn.info","title":"Esquisse d'une théorie du changement dans l'action publique:Structures, acteurs et cadres cognitifs","title-short":"Esquisse d'une théorie du changement dans l'action publique","volume":"55","author":[{"family":"Muller","given":"Pierre"}],"issued":{"date-parts":[["2005"]]}}}],"schema":"https://github.com/citation-style-language/schema/raw/master/csl-citation.json"} </w:instrText>
      </w:r>
      <w:r w:rsidR="00E03DFE">
        <w:rPr>
          <w:rFonts w:cs="Times New Roman"/>
        </w:rPr>
        <w:fldChar w:fldCharType="separate"/>
      </w:r>
      <w:r w:rsidR="00DF6BD6" w:rsidRPr="00DF6BD6">
        <w:rPr>
          <w:rFonts w:cs="Times New Roman"/>
        </w:rPr>
        <w:t>(Muller, 2005)</w:t>
      </w:r>
      <w:r w:rsidR="00E03DFE">
        <w:rPr>
          <w:rFonts w:cs="Times New Roman"/>
        </w:rPr>
        <w:fldChar w:fldCharType="end"/>
      </w:r>
      <w:r w:rsidR="00993038">
        <w:rPr>
          <w:rFonts w:cs="Times New Roman"/>
        </w:rPr>
        <w:t>: compras públicas (1 - prestação de um serviço público), política assistencial (2 - ou da demanda) e política de desenvolvimento rural (3 - ou da oferta). Na lógica da preservação das condições ecológicas que permitem a produção agrícola e a reprodução social das populações rurais, incluímos as políticas ambientais do registro alimentar (4). Por fim, completamos o perímetro institucional do objeto analisado pela forma assumida pela governança do SNPSA (</w:t>
      </w:r>
      <w:r w:rsidR="00D926B9">
        <w:rPr>
          <w:rFonts w:cs="Times New Roman"/>
        </w:rPr>
        <w:t/>
      </w:r>
      <w:r w:rsidR="00A70BCE">
        <w:rPr>
          <w:rFonts w:cs="Times New Roman"/>
        </w:rPr>
        <w:t/>
      </w:r>
      <w:r w:rsidR="008A6945">
        <w:rPr>
          <w:rFonts w:cs="Times New Roman"/>
        </w:rPr>
        <w:t/>
      </w:r>
      <w:r w:rsidR="001D032E">
        <w:rPr>
          <w:rFonts w:cs="Times New Roman"/>
        </w:rPr>
        <w:t/>
      </w:r>
      <w:r w:rsidR="008A6945">
        <w:rPr>
          <w:rFonts w:cs="Times New Roman"/>
        </w:rPr>
        <w:t/>
      </w:r>
      <w:r w:rsidR="008A27C9">
        <w:rPr>
          <w:rFonts w:cs="Times New Roman"/>
        </w:rPr>
        <w:t/>
      </w:r>
      <w:r w:rsidR="008A6945">
        <w:rPr>
          <w:rFonts w:cs="Times New Roman"/>
        </w:rPr>
        <w:t/>
      </w:r>
      <w:r w:rsidR="003B3E45">
        <w:rPr>
          <w:rFonts w:cs="Times New Roman"/>
        </w:rPr>
        <w:t/>
      </w:r>
      <w:r w:rsidR="008A6945">
        <w:rPr>
          <w:rFonts w:cs="Times New Roman"/>
        </w:rPr>
        <w:t/>
      </w:r>
      <w:r w:rsidR="001140F2">
        <w:rPr>
          <w:rFonts w:cs="Times New Roman"/>
        </w:rPr>
        <w:t/>
      </w:r>
      <w:r w:rsidR="00E33B7D">
        <w:rPr>
          <w:rFonts w:cs="Times New Roman"/>
        </w:rPr>
        <w:t/>
      </w:r>
      <w:r w:rsidR="00CA21F0">
        <w:rPr>
          <w:rFonts w:cs="Times New Roman"/>
        </w:rPr>
        <w:t/>
      </w:r>
      <w:r w:rsidR="00E33B7D">
        <w:rPr>
          <w:rFonts w:cs="Times New Roman"/>
        </w:rPr>
        <w:t/>
      </w:r>
      <w:r w:rsidR="00B225DE">
        <w:rPr>
          <w:rFonts w:cs="Times New Roman"/>
        </w:rPr>
        <w:t/>
      </w:r>
      <w:r w:rsidR="00E33B7D">
        <w:rPr>
          <w:rFonts w:cs="Times New Roman"/>
        </w:rPr>
        <w:t/>
      </w:r>
      <w:r w:rsidR="009C6384">
        <w:rPr>
          <w:rFonts w:cs="Times New Roman"/>
        </w:rPr>
        <w:t/>
      </w:r>
      <w:r w:rsidR="00697646">
        <w:rPr>
          <w:rFonts w:cs="Times New Roman"/>
        </w:rPr>
        <w:t/>
      </w:r>
      <w:r w:rsidR="00716B0B">
        <w:rPr>
          <w:rFonts w:cs="Times New Roman"/>
        </w:rPr>
        <w:t/>
      </w:r>
      <w:r w:rsidR="00697646">
        <w:rPr>
          <w:rFonts w:cs="Times New Roman"/>
        </w:rPr>
        <w:t/>
      </w:r>
      <w:r w:rsidR="00823679">
        <w:rPr>
          <w:rFonts w:cs="Times New Roman"/>
        </w:rPr>
        <w:t/>
      </w:r>
      <w:r w:rsidR="002C4C02">
        <w:rPr>
          <w:rFonts w:cs="Times New Roman"/>
        </w:rPr>
        <w:t/>
      </w:r>
      <w:r w:rsidR="00823679">
        <w:rPr>
          <w:rFonts w:cs="Times New Roman"/>
        </w:rPr>
        <w:t/>
      </w:r>
      <w:r w:rsidR="00E36A9E">
        <w:rPr>
          <w:rFonts w:cs="Times New Roman"/>
        </w:rPr>
        <w:t/>
      </w:r>
      <w:r w:rsidR="006076CC">
        <w:rPr>
          <w:rFonts w:cs="Times New Roman"/>
        </w:rPr>
        <w:t/>
      </w:r>
      <w:r w:rsidR="00E36A9E">
        <w:rPr>
          <w:rFonts w:cs="Times New Roman"/>
        </w:rPr>
        <w:t/>
      </w:r>
      <w:r w:rsidR="00F27562">
        <w:rPr>
          <w:rFonts w:cs="Times New Roman"/>
        </w:rPr>
        <w:t/>
      </w:r>
      <w:r w:rsidR="00917EFD">
        <w:rPr>
          <w:rFonts w:cs="Times New Roman"/>
        </w:rPr>
        <w:t/>
      </w:r>
      <w:r w:rsidR="00850488">
        <w:rPr>
          <w:rFonts w:cs="Times New Roman"/>
        </w:rPr>
        <w:t/>
      </w:r>
      <w:r w:rsidR="008D1094">
        <w:rPr>
          <w:rFonts w:cs="Times New Roman"/>
        </w:rPr>
        <w:t/>
      </w:r>
      <w:r w:rsidR="00D73ED1">
        <w:rPr>
          <w:rFonts w:cs="Times New Roman"/>
        </w:rPr>
        <w:t/>
      </w:r>
      <w:r w:rsidR="00F27FD4">
        <w:rPr>
          <w:rFonts w:cs="Times New Roman"/>
        </w:rPr>
        <w:t/>
      </w:r>
      <w:r w:rsidR="00155A5A">
        <w:rPr>
          <w:rFonts w:cs="Times New Roman"/>
        </w:rPr>
        <w:t/>
      </w:r>
      <w:r w:rsidR="00F27FD4">
        <w:rPr>
          <w:rFonts w:cs="Times New Roman"/>
        </w:rPr>
        <w:t/>
      </w:r>
      <w:r w:rsidR="000A0BCE">
        <w:rPr>
          <w:rFonts w:cs="Times New Roman"/>
        </w:rPr>
        <w:t/>
      </w:r>
      <w:r w:rsidR="00F27FD4">
        <w:rPr>
          <w:rFonts w:cs="Times New Roman"/>
        </w:rPr>
        <w:t/>
      </w:r>
      <w:r w:rsidR="009B6A70">
        <w:rPr>
          <w:rFonts w:cs="Times New Roman"/>
        </w:rPr>
        <w:t/>
      </w:r>
      <w:r w:rsidR="009F5BE5">
        <w:rPr>
          <w:rFonts w:cs="Times New Roman"/>
        </w:rPr>
        <w:t/>
      </w:r>
      <w:r w:rsidR="006A049D">
        <w:rPr>
          <w:rFonts w:cs="Times New Roman"/>
        </w:rPr>
        <w:t/>
      </w:r>
      <w:r w:rsidR="00664B18">
        <w:rPr>
          <w:rFonts w:cs="Times New Roman"/>
        </w:rPr>
        <w:t/>
      </w:r>
      <w:r w:rsidR="006A049D">
        <w:rPr>
          <w:rFonts w:cs="Times New Roman"/>
        </w:rPr>
        <w:t/>
      </w:r>
      <w:r w:rsidR="009F5BE5">
        <w:rPr>
          <w:rFonts w:cs="Times New Roman"/>
        </w:rPr>
        <w:t/>
      </w:r>
      <w:r w:rsidR="00AF6B1B">
        <w:rPr>
          <w:rFonts w:cs="Times New Roman"/>
        </w:rPr>
        <w:t/>
      </w:r>
      <w:r w:rsidR="00093209">
        <w:rPr>
          <w:rFonts w:cs="Times New Roman"/>
        </w:rPr>
        <w:t/>
      </w:r>
      <w:r w:rsidR="00264F5A">
        <w:rPr>
          <w:rFonts w:cs="Times New Roman"/>
        </w:rPr>
        <w:t/>
      </w:r>
      <w:r w:rsidR="00ED6715">
        <w:rPr>
          <w:rFonts w:cs="Times New Roman"/>
        </w:rPr>
        <w:fldChar w:fldCharType="begin"/>
      </w:r>
      <w:r w:rsidR="00ED6715">
        <w:rPr>
          <w:rFonts w:cs="Times New Roman"/>
        </w:rPr>
        <w:instrText xml:space="preserve"> REF _Ref224056343 \h </w:instrText>
      </w:r>
      <w:r w:rsidR="00ED6715">
        <w:rPr>
          <w:rFonts w:cs="Times New Roman"/>
        </w:rPr>
      </w:r>
      <w:r w:rsidR="00ED6715">
        <w:rPr>
          <w:rFonts w:cs="Times New Roman"/>
        </w:rPr>
        <w:fldChar w:fldCharType="separate"/>
      </w:r>
      <w:r w:rsidR="00ED6715">
        <w:t xml:space="preserve">Figure </w:t>
      </w:r>
      <w:r w:rsidR="00ED6715">
        <w:rPr>
          <w:noProof/>
        </w:rPr>
        <w:t>1</w:t>
      </w:r>
      <w:r w:rsidR="00ED6715">
        <w:rPr>
          <w:rFonts w:cs="Times New Roman"/>
        </w:rPr>
        <w:fldChar w:fldCharType="end"/>
      </w:r>
      <w:r w:rsidR="00264F5A">
        <w:rPr>
          <w:rFonts w:cs="Times New Roman"/>
        </w:rPr>
        <w:t>).</w:t>
      </w:r>
      <w:r w:rsidR="00093209">
        <w:rPr>
          <w:rFonts w:cs="Times New Roman"/>
        </w:rPr>
        <w:t/>
      </w:r>
    </w:p>
    <w:p w14:paraId="4919BC14" w14:textId="602FC66B" w:rsidR="0072099B" w:rsidRDefault="00CD603F" w:rsidP="00CD603F">
      <w:pPr>
        <w:keepNext/>
        <w:jc w:val="center"/>
      </w:pPr>
      <w:r w:rsidRPr="00CD603F">
        <w:rPr>
          <w:noProof/>
        </w:rPr>
        <w:drawing>
          <wp:inline distT="0" distB="0" distL="0" distR="0" wp14:anchorId="23DBDF2C" wp14:editId="29AC2002">
            <wp:extent cx="4674535" cy="4012442"/>
            <wp:effectExtent l="0" t="0" r="0" b="7620"/>
            <wp:docPr id="44924151" name="Image 1" descr="O diagrama apresenta a estrutura institucional dos sistemas nacionais de proteção social alimentar: governança, políticas ambientais, compras públicas ou socializadas, política da demanda/assistencial e desenvolvimento r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151" name="Image 1" descr="The diagram illustrates a hierarchical structure of environmental governance, detailing policies related to market, public, and rural affairs, including development, demand, and social aspects.&#10;&#10;Le contenu généré par l’IA peut être incorrect."/>
                    <pic:cNvPicPr/>
                  </pic:nvPicPr>
                  <pic:blipFill>
                    <a:blip r:embed="rId9"/>
                    <a:stretch>
                      <a:fillRect/>
                    </a:stretch>
                  </pic:blipFill>
                  <pic:spPr>
                    <a:xfrm>
                      <a:off x="0" y="0"/>
                      <a:ext cx="4707530" cy="4040764"/>
                    </a:xfrm>
                    <a:prstGeom prst="rect">
                      <a:avLst/>
                    </a:prstGeom>
                  </pic:spPr>
                </pic:pic>
              </a:graphicData>
            </a:graphic>
          </wp:inline>
        </w:drawing>
      </w:r>
    </w:p>
    <w:p w14:paraId="5B53F4E7" w14:textId="112A726F" w:rsidR="0072099B" w:rsidRDefault="0072099B" w:rsidP="0072099B">
      <w:pPr>
        <w:pStyle w:val="Lgende"/>
        <w:jc w:val="center"/>
      </w:pPr>
      <w:bookmarkStart w:id="1" w:name="_Ref224056343"/>
      <w:r>
        <w:t xml:space="preserve">Figura </w:t>
      </w:r>
      <w:fldSimple w:instr=" SEQ Figure \* ARABIC ">
        <w:r w:rsidR="00AC6816">
          <w:rPr>
            <w:noProof/>
          </w:rPr>
          <w:t>1</w:t>
        </w:r>
      </w:fldSimple>
      <w:bookmarkEnd w:id="1"/>
      <w:r>
        <w:t xml:space="preserve"> – Estrutura institucional dos SNPSA</w:t>
      </w:r>
      <w:r w:rsidR="00FA1F5F">
        <w:t/>
      </w:r>
      <w:r>
        <w:t/>
      </w:r>
    </w:p>
    <w:p w14:paraId="1B0492A9" w14:textId="74960807" w:rsidR="00A76500" w:rsidRPr="00F75182" w:rsidRDefault="001276B2" w:rsidP="005F6199">
      <w:pPr>
        <w:jc w:val="both"/>
      </w:pPr>
      <w:r>
        <w:lastRenderedPageBreak/>
        <w:t>Para ilustrar indutivamente a diversidade formal que os SNPSA podem assumir, exploraremos a comparação entre os sistemas francês e brasileiro (</w:t>
      </w:r>
      <w:r w:rsidR="000F2E39">
        <w:t/>
      </w:r>
      <w:r w:rsidR="00AE7826">
        <w:t/>
      </w:r>
      <w:r w:rsidR="000F2E39">
        <w:t/>
      </w:r>
      <w:r w:rsidR="00812030">
        <w:t/>
      </w:r>
      <w:r w:rsidR="00B46424">
        <w:t/>
      </w:r>
      <w:r w:rsidR="00EA7C0F">
        <w:t/>
      </w:r>
      <w:r w:rsidR="00D1683E">
        <w:t/>
      </w:r>
      <w:r w:rsidR="003D6BAA">
        <w:t/>
      </w:r>
      <w:r w:rsidR="00686CBE">
        <w:fldChar w:fldCharType="begin"/>
      </w:r>
      <w:r w:rsidR="00686CBE">
        <w:instrText xml:space="preserve"> REF _Ref225030467 \h </w:instrText>
      </w:r>
      <w:r w:rsidR="00686CBE">
        <w:fldChar w:fldCharType="separate"/>
      </w:r>
      <w:r w:rsidR="00686CBE">
        <w:t xml:space="preserve">Tableau </w:t>
      </w:r>
      <w:r w:rsidR="00BE7FD4">
        <w:t>A</w:t>
      </w:r>
      <w:r w:rsidR="00686CBE">
        <w:rPr>
          <w:noProof/>
        </w:rPr>
        <w:t>1</w:t>
      </w:r>
      <w:r w:rsidR="00686CBE">
        <w:fldChar w:fldCharType="end"/>
      </w:r>
      <w:r w:rsidR="003D6BAA">
        <w:t xml:space="preserve">). O principal contraste diz menos respeito à presença ou à ausência de instrumentos do que à forma como são articulados. Na França, coexistem dispositivos que vão dos serviços de alimentação coletiva geridos pelas coletividades locais à assistência alimentar, amplamente baseada em um tecido associativo apoiado por financiamentos públicos, doações privadas e gasto tributário. As políticas agrícolas, sociais, sanitárias e ambientais permanecem pouco integradas em um mesmo referencial de segurança alimentar e carecem de coordenação efetiva </w:t>
      </w:r>
      <w:r w:rsidR="00EA7C0F">
        <w:t/>
      </w:r>
      <w:r w:rsidR="00DC4223" w:rsidRPr="00236561">
        <w:t/>
      </w:r>
      <w:r w:rsidR="006B6C37">
        <w:t/>
      </w:r>
      <w:r w:rsidR="003552BB">
        <w:t/>
      </w:r>
      <w:r w:rsidR="00401705">
        <w:t/>
      </w:r>
      <w:r w:rsidR="00A32E74">
        <w:t/>
      </w:r>
      <w:r w:rsidR="00DC4223" w:rsidRPr="00236561">
        <w:t/>
      </w:r>
      <w:r w:rsidR="00E77005">
        <w:t/>
      </w:r>
      <w:r w:rsidR="00875522">
        <w:t/>
      </w:r>
      <w:r w:rsidR="00DC4223" w:rsidRPr="00236561">
        <w:t/>
      </w:r>
      <w:r w:rsidR="00875522">
        <w:t/>
      </w:r>
      <w:r w:rsidR="00DC4223" w:rsidRPr="00236561">
        <w:t/>
      </w:r>
      <w:r w:rsidR="00F51079">
        <w:t/>
      </w:r>
      <w:r w:rsidR="00DC4223" w:rsidRPr="00236561">
        <w:t/>
      </w:r>
      <w:r w:rsidR="00DC4223">
        <w:t/>
      </w:r>
      <w:r w:rsidR="00DC4223" w:rsidRPr="00236561">
        <w:t/>
      </w:r>
      <w:r w:rsidR="006406F5">
        <w:t/>
      </w:r>
      <w:r w:rsidR="00DC4223" w:rsidRPr="00236561">
        <w:t/>
      </w:r>
      <w:r w:rsidR="00154484">
        <w:t/>
      </w:r>
      <w:r w:rsidR="00DC4223" w:rsidRPr="00236561">
        <w:t/>
      </w:r>
      <w:r w:rsidR="00A97528">
        <w:t/>
      </w:r>
      <w:r w:rsidR="005A3773">
        <w:t/>
      </w:r>
      <w:r w:rsidR="00B1630F">
        <w:t/>
      </w:r>
      <w:r w:rsidR="00A97528">
        <w:t/>
      </w:r>
      <w:r w:rsidR="001F235A">
        <w:t/>
      </w:r>
      <w:r w:rsidR="001F235A">
        <w:fldChar w:fldCharType="begin"/>
      </w:r>
      <w:r w:rsidR="00511B07">
        <w:instrText xml:space="preserve"> ADDIN ZOTERO_ITEM CSL_CITATION {"citationID":"kpW47DEg","properties":{"formattedCitation":"(Le Morvan &amp; Wanecq, 2019)","plainCitation":"(Le Morvan &amp; Wanecq, 2019)","noteIndex":0},"citationItems":[{"id":14208,"uris":["http://zotero.org/users/10222123/items/R3SBLLPW"],"itemData":{"id":14208,"type":"report","citation-key":"lemorvanLutteContrePrecarite2019","language":"fr","number":"2019-069R","publisher":"IGAS","source":"Zotero","title":"La lutte contre la précarité alimentaire. Evolution du soutien public à une politique sociale, agricole et de santé publique.","author":[{"family":"Le Morvan","given":"Franck"},{"family":"Wanecq","given":"Thomas"}],"issued":{"date-parts":[["2019",12]]}}}],"schema":"https://github.com/citation-style-language/schema/raw/master/csl-citation.json"} </w:instrText>
      </w:r>
      <w:r w:rsidR="001F235A">
        <w:fldChar w:fldCharType="separate"/>
      </w:r>
      <w:r w:rsidR="001F235A" w:rsidRPr="00DF6BD6">
        <w:rPr>
          <w:rFonts w:cs="Times New Roman"/>
        </w:rPr>
        <w:t>(Le Morvan &amp; Wanecq, 2019)</w:t>
      </w:r>
      <w:r w:rsidR="001F235A">
        <w:fldChar w:fldCharType="end"/>
      </w:r>
      <w:r w:rsidR="00A97528">
        <w:t>, apesar da criação dos Projets Alimentaires Territoriaux (PAT)</w:t>
      </w:r>
      <w:r w:rsidR="007C329F" w:rsidRPr="00483230">
        <w:rPr>
          <w:rStyle w:val="Appelnotedebasdep"/>
        </w:rPr>
        <w:footnoteReference w:id="3"/>
      </w:r>
      <w:r w:rsidR="00B54A72">
        <w:t>. O Brasil apresenta, ao contrário, um conjunto de instrumentos mais claramente articulado em uma arquitetura de segurança alimentar e nutricional. A alimentação escolar (PNAE)</w:t>
      </w:r>
      <w:r w:rsidR="00414C98" w:rsidRPr="00414C98">
        <w:t/>
      </w:r>
      <w:r w:rsidR="00414C98" w:rsidRPr="00236561">
        <w:t/>
      </w:r>
      <w:r w:rsidR="00C06EAC">
        <w:t/>
      </w:r>
      <w:r w:rsidR="00414C98" w:rsidRPr="00236561">
        <w:t/>
      </w:r>
      <w:r w:rsidR="000C726D">
        <w:t/>
      </w:r>
      <w:r w:rsidR="00F21A43" w:rsidRPr="00483230">
        <w:rPr>
          <w:rStyle w:val="Appelnotedebasdep"/>
        </w:rPr>
        <w:footnoteReference w:id="4"/>
      </w:r>
      <w:r w:rsidR="000C726D">
        <w:t xml:space="preserve"> e o Programa de Aquisição de Alimentos (PAA)</w:t>
      </w:r>
      <w:r w:rsidR="00F21A43" w:rsidRPr="00483230">
        <w:rPr>
          <w:rStyle w:val="Appelnotedebasdep"/>
        </w:rPr>
        <w:footnoteReference w:id="5"/>
      </w:r>
      <w:r w:rsidR="00414C98" w:rsidRPr="00236561">
        <w:t xml:space="preserve"> combinam a prestação de um serviço público alimentar e o apoio à agricultura familiar</w:t>
      </w:r>
      <w:r w:rsidR="00FA0840">
        <w:t/>
      </w:r>
      <w:r w:rsidR="00414C98" w:rsidRPr="00236561">
        <w:t/>
      </w:r>
      <w:r w:rsidR="003F050E" w:rsidRPr="00483230">
        <w:rPr>
          <w:rStyle w:val="Appelnotedebasdep"/>
        </w:rPr>
        <w:footnoteReference w:id="6"/>
      </w:r>
      <w:r w:rsidR="00414C98" w:rsidRPr="00236561">
        <w:t xml:space="preserve">, </w:t>
      </w:r>
      <w:r w:rsidR="009967EF">
        <w:rPr>
          <w:i/>
          <w:iCs/>
        </w:rPr>
        <w:t>por meio</w:t>
      </w:r>
      <w:r w:rsidR="009967EF">
        <w:t xml:space="preserve"> de cláusulas de compra. Os </w:t>
      </w:r>
      <w:r w:rsidR="00414C98">
        <w:t/>
      </w:r>
      <w:r w:rsidR="00414C98" w:rsidRPr="00236561">
        <w:t/>
      </w:r>
      <w:r w:rsidR="00414C98">
        <w:t/>
      </w:r>
      <w:r w:rsidR="00414C98" w:rsidRPr="00236561">
        <w:t/>
      </w:r>
      <w:r w:rsidR="00665DC3">
        <w:rPr>
          <w:i/>
          <w:iCs/>
        </w:rPr>
        <w:t>bancos de alimentos</w:t>
      </w:r>
      <w:r w:rsidR="00414C98" w:rsidRPr="00236561">
        <w:rPr>
          <w:i/>
          <w:iCs/>
        </w:rPr>
        <w:t/>
      </w:r>
      <w:proofErr w:type="spellStart"/>
      <w:r w:rsidR="00665DC3">
        <w:rPr>
          <w:i/>
          <w:iCs/>
        </w:rPr>
        <w:t/>
      </w:r>
      <w:r w:rsidR="00414C98" w:rsidRPr="00236561">
        <w:rPr>
          <w:i/>
          <w:iCs/>
        </w:rPr>
        <w:t/>
      </w:r>
      <w:proofErr w:type="spellEnd"/>
      <w:r w:rsidR="00781FFA">
        <w:t xml:space="preserve"> e as </w:t>
      </w:r>
      <w:r w:rsidR="00414C98" w:rsidRPr="00236561">
        <w:t/>
      </w:r>
      <w:proofErr w:type="spellStart"/>
      <w:r w:rsidR="00665DC3">
        <w:rPr>
          <w:i/>
          <w:iCs/>
        </w:rPr>
        <w:t>cozinhas solidárias</w:t>
      </w:r>
      <w:r w:rsidR="00414C98" w:rsidRPr="00236561">
        <w:rPr>
          <w:i/>
          <w:iCs/>
        </w:rPr>
        <w:t/>
      </w:r>
      <w:proofErr w:type="spellEnd"/>
      <w:r w:rsidR="00414C98" w:rsidRPr="00236561">
        <w:rPr>
          <w:i/>
          <w:iCs/>
        </w:rPr>
        <w:t/>
      </w:r>
      <w:proofErr w:type="spellStart"/>
      <w:r w:rsidR="00665DC3">
        <w:rPr>
          <w:i/>
          <w:iCs/>
        </w:rPr>
        <w:t/>
      </w:r>
      <w:r w:rsidR="00414C98" w:rsidRPr="00236561">
        <w:rPr>
          <w:i/>
          <w:iCs/>
        </w:rPr>
        <w:t/>
      </w:r>
      <w:proofErr w:type="spellEnd"/>
      <w:r w:rsidR="00CD449B">
        <w:rPr>
          <w:i/>
          <w:iCs/>
        </w:rPr>
        <w:t/>
      </w:r>
      <w:r w:rsidR="00CD449B">
        <w:t xml:space="preserve"> prolongam essa lógica no que diz respeito ao acesso. Por fim, o </w:t>
      </w:r>
      <w:r w:rsidR="00414C98" w:rsidRPr="00236561">
        <w:t/>
      </w:r>
      <w:r w:rsidR="00414C98">
        <w:t/>
      </w:r>
      <w:r w:rsidR="00414C98" w:rsidRPr="00236561">
        <w:t/>
      </w:r>
      <w:r w:rsidR="00414C98">
        <w:t/>
      </w:r>
      <w:r w:rsidR="00414C98" w:rsidRPr="00236561">
        <w:t/>
      </w:r>
      <w:r w:rsidR="00414C98">
        <w:t/>
      </w:r>
      <w:proofErr w:type="spellStart"/>
      <w:r w:rsidR="00414C98" w:rsidRPr="00236561">
        <w:rPr>
          <w:i/>
          <w:iCs/>
        </w:rPr>
        <w:t>Bolsa Família</w:t>
      </w:r>
      <w:proofErr w:type="spellEnd"/>
      <w:r w:rsidR="00414C98" w:rsidRPr="00236561">
        <w:rPr>
          <w:i/>
          <w:iCs/>
        </w:rPr>
        <w:t/>
      </w:r>
      <w:proofErr w:type="spellStart"/>
      <w:r w:rsidR="00414C98" w:rsidRPr="00236561">
        <w:rPr>
          <w:i/>
          <w:iCs/>
        </w:rPr>
        <w:t/>
      </w:r>
      <w:proofErr w:type="spellEnd"/>
      <w:r w:rsidR="00525851" w:rsidRPr="00483230">
        <w:rPr>
          <w:rStyle w:val="Appelnotedebasdep"/>
        </w:rPr>
        <w:footnoteReference w:id="7"/>
      </w:r>
      <w:r w:rsidR="00414C98" w:rsidRPr="00236561">
        <w:t xml:space="preserve"> atua como instrumento de ampliação da capacidade de compra da demanda popular, em um marco mais amplo coordenado pelo Sistema Nacional de Segurança Alimentar e Nutricional (SISAN). Em suma, enquanto a França justapõe instrumentos pertencentes a lógicas setoriais distintas, o Brasil tende mais a fazê-los convergir em uma mesma gramática institucional, articulando produção, acesso, nutrição e participação social.</w:t>
      </w:r>
      <w:r w:rsidR="00181F97">
        <w:t/>
      </w:r>
      <w:r w:rsidR="00414C98" w:rsidRPr="00236561">
        <w:t/>
      </w:r>
      <w:r w:rsidR="00181F97">
        <w:t/>
      </w:r>
      <w:r w:rsidR="00414C98" w:rsidRPr="00236561">
        <w:t/>
      </w:r>
      <w:r w:rsidR="00297885">
        <w:t/>
      </w:r>
      <w:r w:rsidR="00414C98" w:rsidRPr="00236561">
        <w:t/>
      </w:r>
    </w:p>
    <w:p w14:paraId="10492718" w14:textId="573C4674" w:rsidR="003949FD" w:rsidRPr="003949FD" w:rsidRDefault="003949FD" w:rsidP="003949FD">
      <w:pPr>
        <w:jc w:val="both"/>
      </w:pPr>
      <w:r w:rsidRPr="003949FD">
        <w:t xml:space="preserve">Comparar sistemas desse tipo, dotados de instrumentos heterogêneos e que atuam em escalas diferentes de um país para outro, apresenta dificuldades clássicas da comparação internacional. Seguindo </w:t>
      </w:r>
      <w:r w:rsidR="00844EE7">
        <w:t/>
      </w:r>
      <w:r w:rsidR="00573F18">
        <w:fldChar w:fldCharType="begin"/>
      </w:r>
      <w:r w:rsidR="008740E5">
        <w:instrText xml:space="preserve"> ADDIN ZOTERO_ITEM CSL_CITATION {"citationID":"8JbwEcZX","properties":{"formattedCitation":"(Th\\uc0\\u233{}ret, 1997)","plainCitation":"(Théret, 1997)","dontUpdate":true,"noteIndex":0},"citationItems":[{"id":5975,"uris":["http://zotero.org/users/10222123/items/FFG6NJMT"],"itemData":{"id":5975,"type":"article-journal","citation-key":"theretMethodologieComparaisonsInternationales1997","container-title":"L'Année de la Régulation","journalAbbreviation":"L'Année de la Régulation","page":"163-228","source":"ResearchGate","title":"Méthodologie des comparaisons internationales, approches de l'effet sociétal de la régulation: Fondements pour une lecture structuraliste des systèmes nationaux de protection sociale","title-short":"Méthodologie des comparaisons internationales, approches de l'effet socieétal de la régulation","volume":"1","author":[{"family":"Théret","given":"Bruno"}],"issued":{"date-parts":[["1997",1,1]]}}}],"schema":"https://github.com/citation-style-language/schema/raw/master/csl-citation.json"} </w:instrText>
      </w:r>
      <w:r w:rsidR="00573F18">
        <w:fldChar w:fldCharType="separate"/>
      </w:r>
      <w:r w:rsidR="00573F18" w:rsidRPr="00573F18">
        <w:rPr>
          <w:rFonts w:cs="Times New Roman"/>
          <w:kern w:val="0"/>
        </w:rPr>
        <w:t>Théret</w:t>
      </w:r>
      <w:r w:rsidR="00573F18">
        <w:rPr>
          <w:rFonts w:cs="Times New Roman"/>
          <w:kern w:val="0"/>
        </w:rPr>
        <w:t xml:space="preserve"> (</w:t>
      </w:r>
      <w:r w:rsidR="00573F18" w:rsidRPr="00573F18">
        <w:rPr>
          <w:rFonts w:cs="Times New Roman"/>
          <w:kern w:val="0"/>
        </w:rPr>
        <w:t>1997)</w:t>
      </w:r>
      <w:r w:rsidR="00573F18">
        <w:fldChar w:fldCharType="end"/>
      </w:r>
      <w:r w:rsidRPr="003949FD">
        <w:t>, não se trata, contudo, de considerá-las um simples obstáculo empírico, mas como sinal de que uma comparação pertinente não pode incidir nem sobre instrumentos isolados, nem sobre variáveis macroeconômicas tomadas como totalidades substantivas. Contra esse duplo escolho, Bruno Théret propõe uma abordagem estrutural atenta aos níveis intermediários de mediação, nos quais se podem comparar não unidades empíricas diretamente dadas, mas relações entre ordens sociais. A comparação deve, assim, incidir sobre sistemas mesoscópicos de mediação, suficientemente abstratos para tornar comensuráveis formas nacionais heterogêneas e suficientemente concretos para restituir as modalidades históricas de sua institucionalização.</w:t>
      </w:r>
      <w:r w:rsidR="0057400C">
        <w:t/>
      </w:r>
      <w:r w:rsidRPr="003949FD">
        <w:t/>
      </w:r>
      <w:r w:rsidR="00B6011E">
        <w:t/>
      </w:r>
      <w:r w:rsidRPr="003949FD">
        <w:t/>
      </w:r>
      <w:r w:rsidR="003D7B36">
        <w:t/>
      </w:r>
      <w:r w:rsidRPr="003949FD">
        <w:t/>
      </w:r>
      <w:r w:rsidRPr="003949FD">
        <w:lastRenderedPageBreak/>
        <w:t/>
      </w:r>
      <w:r w:rsidR="005942C2">
        <w:t/>
      </w:r>
      <w:r w:rsidRPr="003949FD">
        <w:t/>
      </w:r>
    </w:p>
    <w:p w14:paraId="05C623D3" w14:textId="357588BF" w:rsidR="00505EDC" w:rsidRDefault="00266659" w:rsidP="003949FD">
      <w:pPr>
        <w:jc w:val="both"/>
      </w:pPr>
      <w:r w:rsidRPr="00266659">
        <w:t xml:space="preserve">Nossa abordagem situa-se, assim, na interseção de duas famílias de trabalhos frequentemente mantidas separadas: de um lado, as abordagens da regulação e da comparação estrutural das mediações institucionais; de outro, os estudos agrários críticos atentos às contradições entre mercantilização, reprodução social, diferenciação de classe e busca de autonomia camponesa </w:t>
      </w:r>
      <w:r w:rsidR="00F16FF1">
        <w:t/>
      </w:r>
      <w:r w:rsidRPr="00266659">
        <w:t/>
      </w:r>
      <w:r w:rsidR="00060010">
        <w:t/>
      </w:r>
      <w:r w:rsidR="008235D3">
        <w:t/>
      </w:r>
      <w:r w:rsidR="00060010">
        <w:t/>
      </w:r>
      <w:r w:rsidRPr="00266659">
        <w:t/>
      </w:r>
      <w:r w:rsidR="00397220">
        <w:t/>
      </w:r>
      <w:r w:rsidR="00905083">
        <w:fldChar w:fldCharType="begin"/>
      </w:r>
      <w:r w:rsidR="00511B07">
        <w:instrText xml:space="preserve"> ADDIN ZOTERO_ITEM CSL_CITATION {"citationID":"UqZ7dE05","properties":{"formattedCitation":"(Bernstein, 2014; McMichael, 2023; Jan Douwe van der\\uc0\\u160{}Ploeg &amp; Schneider, 2022)","plainCitation":"(Bernstein, 2014; McMichael, 2023; Jan Douwe van der Ploeg &amp; Schneider, 2022)","noteIndex":0},"citationItems":[{"id":14432,"uris":["http://zotero.org/users/10222123/items/2DPKMG3V"],"itemData":{"id":14432,"type":"article-journal","abstract":"This paper attempts to identify and assess some of the key elements that ‘frame’ food sovereignty (FS): (1) a comprehensive attack on corporate industrialised agriculture, and its ecological consequences, in the current moment of globalisation, (2) advocacy of a (the) ‘peasant way’ as the basis of a sustainable and socially just food system, and (3) a programme to realise that world-historical goal. While sharing some of the concerns of (1), I am sceptical about (2) because of how FS conceives ‘peasants’, and the claim of some of its leading advocates that small producers who practice agroecological farming – understood as low (external)-input and labour-intensive – can feed the world. This connects with an argument that FS is incapable of constructing a feasible programme (3) to connect the activities of small farmers with the food needs of non-farmers, whose numbers are growing both absolutely and as a proportion of the world's population.","citation-key":"bernsteinFoodSovereigntyPeasant2014","container-title":"The Journal of Peasant Studies","DOI":"10.1080/03066150.2013.852082","ISSN":"0306-6150","issue":"6","note":"_eprint: https://doi.org/10.1080/03066150.2013.852082","page":"1031-1063","publisher":"Routledge","source":"Taylor and Francis+NEJM","title":"Food sovereignty via the ‘peasant way’: a sceptical view","title-short":"Food sovereignty via the ‘peasant way’","volume":"41","author":[{"family":"Bernstein","given":"Henry"}],"issued":{"date-parts":[["2014",11,2]]}}},{"id":14195,"uris":["http://zotero.org/users/10222123/items/XKWG5CF4"],"itemData":{"id":14195,"type":"article-journal","abstract":"Karl Polanyi’s concept of the ‘double movement’ refers to a reciprocal dialectic between market forces and social protections for citizens. It concerns ongoing struggle against individualization of people’s lives under capitalist marketization – which continues today. While Polanyi focused on protective responses to deepening commodification of land, labor, and money across the 1840s–1940s century, the ‘double movement’ remains in force in the contemporary neo-illiberal era, with notable significance for agrarian transformations. This essay reviews adaptations by agrarian counter-movements, NGOs, and analysts to new pressures on producers, farmworkers, Indigenous peoples, and landscapes across the world, and various associated interpretations and analyses.","citation-key":"mcmichaelUpdatingKarlPolanyis2023","container-title":"The Journal of Peasant Studies","DOI":"10.1080/03066150.2023.2219978","ISSN":"0306-6150","issue":"6","note":"_eprint: https://doi.org/10.1080/03066150.2023.2219978","page":"2123-2144","publisher":"Routledge","source":"Taylor and Francis+NEJM","title":"Updating Karl Polanyi’s ‘double movement’ for critical agrarian studies","volume":"50","author":[{"family":"McMichael","given":"Philip"}],"issued":{"date-parts":[["2023",9,19]]}}},{"id":14434,"uris":["http://zotero.org/users/10222123/items/EIDNHC7F"],"itemData":{"id":14434,"type":"article-journal","abstract":"This paper discusses autonomy as a set of practices that result in the production and reproduction of resources that allow for self-organization. We define autonomy as a social construct that refers to the self-organizing capacity of people, communities, and movements. Such capacity assumes both resources and agency. In that vein, our conceptualisation implies that autonomy is a relational concept: It can only emerge when and where struggles that aim at going beyond dependency (i.e., nonautonomy) concretely exist. Autonomy is three-pronged, involving a set of goal-oriented activities, a distantiation from capital, and the agency of social actors. Intertwined with these levels are peasant movements that have the capacity to develop and implement a political agenda that is not overshadowed and/or dictated by external influences. The paper illustrates this intertwining with the case of the Circuito (O Circuito), a Brazilian peasant movement that has constructed and operates an extended farmers' market and which simultaneously transforms farming practices. The Circuit is the outcome of collective action and shows the potential of multilevel performance of several actors engaged in concerted actions. In the conclusion, we suggest that the Circuit represents autonomy based on commonly pooled resources as well representing a countermovement to the destructive dynamics of food empires.","citation-key":"vanderploegAutonomyPoliticoeconomicConcept2022","container-title":"Journal of Agrarian Change","DOI":"10.1111/joac.12482","ISSN":"1471-0366","issue":"3","language":"en","license":"© 2022 John Wiley &amp; Sons Ltd","note":"_eprint: https://onlinelibrary.wiley.com/doi/pdf/10.1111/joac.12482","page":"529-546","source":"Wiley Online Library","title":"Autonomy as a politico-economic concept: Peasant practices and nested markets","title-short":"Autonomy as a politico-economic concept","volume":"22","author":[{"family":"Ploeg","given":"Jan Douwe","non-dropping-particle":"van der"},{"family":"Schneider","given":"Sergio"}],"issued":{"date-parts":[["2022"]]}}}],"schema":"https://github.com/citation-style-language/schema/raw/master/csl-citation.json"} </w:instrText>
      </w:r>
      <w:r w:rsidR="00905083">
        <w:fldChar w:fldCharType="separate"/>
      </w:r>
      <w:r w:rsidR="00905083" w:rsidRPr="00905083">
        <w:rPr>
          <w:rFonts w:cs="Times New Roman"/>
          <w:kern w:val="0"/>
        </w:rPr>
        <w:t>(Bernstein, 2014; McMichael, 2023; Jan Douwe van der Ploeg &amp; Schneider, 2022)</w:t>
      </w:r>
      <w:r w:rsidR="00905083">
        <w:fldChar w:fldCharType="end"/>
      </w:r>
      <w:r w:rsidRPr="00266659">
        <w:t xml:space="preserve">. Nossa metodologia consiste, portanto, em transpor, por isomorfismo, para o registro alimentar a estrutura teórica dos Sistemas Nacionais de Proteção Social (SNPS) que Théret identifica para a proteção social </w:t>
      </w:r>
      <w:r>
        <w:t/>
      </w:r>
      <w:r w:rsidR="003949FD" w:rsidRPr="003949FD">
        <w:t/>
      </w:r>
      <w:r w:rsidR="00492405">
        <w:t/>
      </w:r>
      <w:r w:rsidR="003949FD" w:rsidRPr="003949FD">
        <w:t/>
      </w:r>
      <w:r w:rsidR="00EF56FD">
        <w:t/>
      </w:r>
      <w:r w:rsidR="003949FD" w:rsidRPr="003949FD">
        <w:t/>
      </w:r>
      <w:r w:rsidR="0064425D">
        <w:t/>
      </w:r>
      <w:r w:rsidR="00902391">
        <w:fldChar w:fldCharType="begin"/>
      </w:r>
      <w:r w:rsidR="00003052">
        <w:instrText xml:space="preserve"> ADDIN ZOTERO_ITEM CSL_CITATION {"citationID":"wuZl5fFX","properties":{"formattedCitation":"(Th\\uc0\\u233{}ret, 1996)","plainCitation":"(Théret, 1996)","noteIndex":0},"citationItems":[{"id":5970,"uris":["http://zotero.org/users/10222123/items/LXSRTR2Q"],"itemData":{"id":5970,"type":"article-journal","abstract":"Revue Française des Affaires Sociales, n° 4, 1996, pp. 165-188. Résumé :","citation-key":"theretStructuresElementairesProtection1996","container-title":"Revue française des affaires sociales, Vol. 50, n°4","source":"www.academia.edu","title":"Les structures élémentaires de la protection sociale","URL":"https://www.academia.edu/14884829/Les_structures_%C3%A9l%C3%A9mentaires_de_la_protection_sociale","author":[{"family":"Théret","given":"Bruno"}],"accessed":{"date-parts":[["2025",1,11]]},"issued":{"date-parts":[["1996",1,1]]}}}],"schema":"https://github.com/citation-style-language/schema/raw/master/csl-citation.json"} </w:instrText>
      </w:r>
      <w:r w:rsidR="00902391">
        <w:fldChar w:fldCharType="separate"/>
      </w:r>
      <w:r w:rsidR="00DF6BD6" w:rsidRPr="00DF6BD6">
        <w:rPr>
          <w:rFonts w:cs="Times New Roman"/>
          <w:kern w:val="0"/>
        </w:rPr>
        <w:t>(Théret, 1996)</w:t>
      </w:r>
      <w:r w:rsidR="00902391">
        <w:fldChar w:fldCharType="end"/>
      </w:r>
      <w:r w:rsidR="003949FD" w:rsidRPr="003949FD">
        <w:t xml:space="preserve">. Trata-se de identificar, no registro alimentar, os elementos comuns e as especificidades das mediações da reprodução alimentar das populações, na interseção entre acumulação econômica, regulação política e reprodução doméstica. O objetivo não será, portanto, comparar termo a termo o RSA e o </w:t>
      </w:r>
      <w:r w:rsidR="00FA744A">
        <w:t/>
      </w:r>
      <w:r w:rsidR="003949FD" w:rsidRPr="003949FD">
        <w:t/>
      </w:r>
      <w:r w:rsidR="007A1798">
        <w:t/>
      </w:r>
      <w:r w:rsidR="003949FD" w:rsidRPr="003949FD">
        <w:t/>
      </w:r>
      <w:r w:rsidR="007A1798">
        <w:t/>
      </w:r>
      <w:r w:rsidR="00A40281">
        <w:t/>
      </w:r>
      <w:r w:rsidR="003949FD" w:rsidRPr="003949FD">
        <w:t/>
      </w:r>
      <w:r w:rsidR="00017A9B">
        <w:t/>
      </w:r>
      <w:r w:rsidR="003949FD" w:rsidRPr="003949FD">
        <w:t/>
      </w:r>
      <w:proofErr w:type="spellStart"/>
      <w:r w:rsidR="003949FD" w:rsidRPr="0031106C">
        <w:rPr>
          <w:i/>
          <w:iCs/>
        </w:rPr>
        <w:t>Bolsa Família</w:t>
      </w:r>
      <w:proofErr w:type="spellEnd"/>
      <w:r w:rsidR="003949FD" w:rsidRPr="0031106C">
        <w:rPr>
          <w:i/>
          <w:iCs/>
        </w:rPr>
        <w:t/>
      </w:r>
      <w:proofErr w:type="spellStart"/>
      <w:r w:rsidR="003949FD" w:rsidRPr="0031106C">
        <w:rPr>
          <w:i/>
          <w:iCs/>
        </w:rPr>
        <w:t/>
      </w:r>
      <w:proofErr w:type="spellEnd"/>
      <w:r w:rsidR="0024681B">
        <w:t xml:space="preserve"> ou o PAA e as compras públicas francesas, mas reconstruir as relações estruturais que os tornam comparáveis em cada formação nacional. Os instrumentos aparecerão, então, como realizações histórica e geograficamente diferenciadas de uma mesma estrutura de mediação, o que permite produzir uma comparação propriamente estrutural dos compromissos alimentares francês e brasileiro (Partes 1 e 2). Ilustraremos a utilidade desse marco por meio de uma leitura sociopolítica da produção da diversidade desses dois SNPSA (Parte 3).</w:t>
      </w:r>
      <w:r w:rsidR="003949FD" w:rsidRPr="003949FD">
        <w:t/>
      </w:r>
      <w:r w:rsidR="008961FE">
        <w:t/>
      </w:r>
      <w:r w:rsidR="003949FD" w:rsidRPr="003949FD">
        <w:t/>
      </w:r>
      <w:r w:rsidR="00133870">
        <w:t/>
      </w:r>
      <w:r w:rsidR="00381936">
        <w:t/>
      </w:r>
      <w:r w:rsidR="00133870">
        <w:t/>
      </w:r>
      <w:r w:rsidR="00381936">
        <w:t/>
      </w:r>
      <w:r w:rsidR="00133870">
        <w:t/>
      </w:r>
      <w:r w:rsidR="003949FD" w:rsidRPr="003949FD">
        <w:t/>
      </w:r>
      <w:r w:rsidR="00790DC5">
        <w:t/>
      </w:r>
      <w:r w:rsidR="00843D38">
        <w:t/>
      </w:r>
      <w:r w:rsidR="00582772">
        <w:t/>
      </w:r>
      <w:r w:rsidR="00381936">
        <w:t/>
      </w:r>
      <w:r w:rsidR="00582772">
        <w:t/>
      </w:r>
    </w:p>
    <w:p w14:paraId="79AF2074" w14:textId="5DEC62DD" w:rsidR="00505EDC" w:rsidRDefault="00962434" w:rsidP="00D631A5">
      <w:pPr>
        <w:pStyle w:val="Titre2"/>
        <w:numPr>
          <w:ilvl w:val="0"/>
          <w:numId w:val="9"/>
        </w:numPr>
      </w:pPr>
      <w:r>
        <w:t>A molécula do SNPSA e a mediação entre ordens</w:t>
      </w:r>
      <w:r w:rsidR="00720169">
        <w:t/>
      </w:r>
    </w:p>
    <w:p w14:paraId="5341F2AF" w14:textId="4141B707" w:rsidR="00E0444E" w:rsidRDefault="009600D4" w:rsidP="00525058">
      <w:pPr>
        <w:jc w:val="both"/>
      </w:pPr>
      <w:r>
        <w:t xml:space="preserve">Realizar essa transposição estrutural para definir o SNPSA não significa simplesmente projetar o SNPS de </w:t>
      </w:r>
      <w:r w:rsidR="008F162D">
        <w:t/>
      </w:r>
      <w:r w:rsidR="004B2AF2">
        <w:t/>
      </w:r>
      <w:r w:rsidR="007A6291">
        <w:t/>
      </w:r>
      <w:r w:rsidR="00101D6B">
        <w:t/>
      </w:r>
      <w:r w:rsidR="00706F0E">
        <w:fldChar w:fldCharType="begin"/>
      </w:r>
      <w:r w:rsidR="00511B07">
        <w:instrText xml:space="preserve"> ADDIN ZOTERO_ITEM CSL_CITATION {"citationID":"QnfMNQgK","properties":{"formattedCitation":"(Th\\uc0\\u233{}ret, 1996)","plainCitation":"(Théret, 1996)","dontUpdate":true,"noteIndex":0},"citationItems":[{"id":5970,"uris":["http://zotero.org/users/10222123/items/LXSRTR2Q"],"itemData":{"id":5970,"type":"article-journal","abstract":"Revue Française des Affaires Sociales, n° 4, 1996, pp. 165-188. Résumé :","citation-key":"theretStructuresElementairesProtection1996","container-title":"Revue française des affaires sociales, Vol. 50, n°4","source":"www.academia.edu","title":"Les structures élémentaires de la protection sociale","URL":"https://www.academia.edu/14884829/Les_structures_%C3%A9l%C3%A9mentaires_de_la_protection_sociale","author":[{"family":"Théret","given":"Bruno"}],"accessed":{"date-parts":[["2025",1,11]]},"issued":{"date-parts":[["1996",1,1]]}}}],"schema":"https://github.com/citation-style-language/schema/raw/master/csl-citation.json"} </w:instrText>
      </w:r>
      <w:r w:rsidR="00706F0E">
        <w:fldChar w:fldCharType="separate"/>
      </w:r>
      <w:r w:rsidR="00DF6BD6" w:rsidRPr="00DF6BD6">
        <w:rPr>
          <w:rFonts w:cs="Times New Roman"/>
          <w:kern w:val="0"/>
        </w:rPr>
        <w:t>Théret</w:t>
      </w:r>
      <w:r w:rsidR="00C70A60">
        <w:rPr>
          <w:rFonts w:cs="Times New Roman"/>
          <w:kern w:val="0"/>
        </w:rPr>
        <w:t xml:space="preserve"> (</w:t>
      </w:r>
      <w:r w:rsidR="00DF6BD6" w:rsidRPr="00DF6BD6">
        <w:rPr>
          <w:rFonts w:cs="Times New Roman"/>
          <w:kern w:val="0"/>
        </w:rPr>
        <w:t>1996)</w:t>
      </w:r>
      <w:r w:rsidR="00706F0E">
        <w:fldChar w:fldCharType="end"/>
      </w:r>
      <w:r w:rsidR="00706F0E">
        <w:t xml:space="preserve"> sobre seu subconjunto da política assistencial alimentar. Trata-se, antes, de reconstituir a mediação política que impede a dissolução da sociedade causada pela mercantilização conjunta da terra e da alimentação, enquanto o SNPS compensava a mercantilização do trabalho. Além disso, acompanhar o isomorfismo que vai da proteção social em seu conjunto à mediação especificamente alimentar insere-se no programa de pesquisa proposto por </w:t>
      </w:r>
      <w:r w:rsidR="004644C9">
        <w:t/>
      </w:r>
      <w:r w:rsidR="00B4767E">
        <w:t/>
      </w:r>
      <w:r w:rsidR="001B69DD">
        <w:t/>
      </w:r>
      <w:r w:rsidR="006E3CC1">
        <w:t/>
      </w:r>
      <w:r w:rsidR="00B8732F">
        <w:t/>
      </w:r>
      <w:r w:rsidR="00FE255F">
        <w:t/>
      </w:r>
      <w:r w:rsidR="00B8732F">
        <w:t/>
      </w:r>
      <w:r w:rsidR="00824247">
        <w:t/>
      </w:r>
      <w:r w:rsidR="00FF6333">
        <w:t/>
      </w:r>
      <w:r w:rsidR="00021DB9">
        <w:t/>
      </w:r>
      <w:r w:rsidR="00FE255F">
        <w:t/>
      </w:r>
      <w:r w:rsidR="00534168">
        <w:t/>
      </w:r>
      <w:r w:rsidR="00021DB9">
        <w:t/>
      </w:r>
      <w:r w:rsidR="00E55CCC">
        <w:t/>
      </w:r>
      <w:r w:rsidR="00800EE5">
        <w:t/>
      </w:r>
      <w:r w:rsidR="005129A4">
        <w:t/>
      </w:r>
      <w:r w:rsidR="009A77D1">
        <w:t/>
      </w:r>
      <w:r w:rsidR="00932F66">
        <w:fldChar w:fldCharType="begin"/>
      </w:r>
      <w:r w:rsidR="008740E5">
        <w:instrText xml:space="preserve"> ADDIN ZOTERO_ITEM CSL_CITATION {"citationID":"Rknf3PxG","properties":{"formattedCitation":"(Lautier, 2012)","plainCitation":"(Lautier, 2012)","dontUpdate":true,"noteIndex":0},"citationItems":[{"id":13291,"uris":["http://zotero.org/users/10222123/items/YG4B5YHM"],"itemData":{"id":13291,"type":"article-journal","abstract":"Cet article propose une méthode d’analyse des systèmes latino-américains de protection sociale. Ceux-ci sont caractérisés par une extrême diversité en termes de dépense (niveau et destination) et d’organisation institutionnelle, et par la très grande complexité de chacun d’eux, ce qui est développé dans une première partie. La deuxième partie analyse les raisons de l’échec des efforts d’élaboration de typologies destinées à théoriser cette diversité, qu’elles soient dérivées des typologies élaborées à propos des systèmes européens, ou fondées sur un couplage entre système de protection sociale et type de régime politique. La troisième partie développe une proposition de méthode, qui fonde l’analyse des systèmes de protection sociale sur les configurations des droits sociaux. Cette proposition est faite en deux temps : d’un côté, une définition et un classement de droits sociaux très diversifiés. De l’autre côté la présentation de l’analyse en termes de « configurations de droits », dont on suggère la capacité heuristique.","citation-key":"lautierDiversiteSystemesProtection2012","container-title":"Revue de la régulation. Capitalisme, institutions, pouvoirs","DOI":"10.4000/regulation.9636","ISSN":"1957-7796","issue":"11","language":"fr","license":"https://creativecommons.org/licenses/by-nc-nd/4.0/","publisher":"Association Recherche &amp; Régulation","source":"journals.openedition.org","title":"La diversité des systèmes de protection sociale en Amérique latine","URL":"https://journals.openedition.org/regulation/9636","author":[{"family":"Lautier","given":"Bruno"}],"accessed":{"date-parts":[["2025",11,24]]},"issued":{"date-parts":[["2012",4,25]]}}}],"schema":"https://github.com/citation-style-language/schema/raw/master/csl-citation.json"} </w:instrText>
      </w:r>
      <w:r w:rsidR="00932F66">
        <w:fldChar w:fldCharType="separate"/>
      </w:r>
      <w:r w:rsidR="00932F66" w:rsidRPr="00932F66">
        <w:rPr>
          <w:rFonts w:cs="Times New Roman"/>
        </w:rPr>
        <w:t>Lautier</w:t>
      </w:r>
      <w:r w:rsidR="003F23A7">
        <w:rPr>
          <w:rFonts w:cs="Times New Roman"/>
        </w:rPr>
        <w:t xml:space="preserve"> (</w:t>
      </w:r>
      <w:r w:rsidR="00932F66" w:rsidRPr="00932F66">
        <w:rPr>
          <w:rFonts w:cs="Times New Roman"/>
        </w:rPr>
        <w:t>2012)</w:t>
      </w:r>
      <w:r w:rsidR="00932F66">
        <w:fldChar w:fldCharType="end"/>
      </w:r>
      <w:r w:rsidR="00F8276C">
        <w:t xml:space="preserve">. Este propõe aprofundar </w:t>
      </w:r>
      <w:r w:rsidR="00E55CCC">
        <w:t/>
      </w:r>
      <w:r w:rsidR="008E3795">
        <w:t/>
      </w:r>
      <w:r w:rsidR="00AB44CB">
        <w:t/>
      </w:r>
      <w:r w:rsidR="00AB44CB">
        <w:rPr>
          <w:i/>
          <w:iCs/>
        </w:rPr>
        <w:t>objetos</w:t>
      </w:r>
      <w:r w:rsidR="00C34ABE">
        <w:t xml:space="preserve"> de direitos sociais como campos elementares de confrontação de interesses cuja cristalização produz novos dispositivos institucionais. O direito social em questão é o direito à alimentação adequada, defendido por movimentos internacionais de soberania alimentar, como a </w:t>
      </w:r>
      <w:r w:rsidR="00E463EE">
        <w:t/>
      </w:r>
      <w:r w:rsidR="00C7313E">
        <w:t/>
      </w:r>
      <w:r w:rsidR="00E463EE">
        <w:t/>
      </w:r>
      <w:r w:rsidR="00C7313E">
        <w:t/>
      </w:r>
      <w:r w:rsidR="00E463EE">
        <w:t/>
      </w:r>
      <w:r w:rsidR="001568D8">
        <w:t/>
      </w:r>
      <w:r w:rsidR="003611D6">
        <w:t/>
      </w:r>
      <w:r w:rsidR="0030231F">
        <w:t/>
      </w:r>
      <w:r w:rsidR="007D58D2">
        <w:t/>
      </w:r>
      <w:r w:rsidR="008E52F6">
        <w:t/>
      </w:r>
      <w:r w:rsidR="00B22A41">
        <w:t/>
      </w:r>
      <w:r w:rsidR="00AA7CBC">
        <w:t/>
      </w:r>
      <w:r w:rsidR="00321B96">
        <w:t/>
      </w:r>
      <w:r w:rsidR="00D7522F">
        <w:t/>
      </w:r>
      <w:r w:rsidR="0072261E">
        <w:t/>
      </w:r>
      <w:r w:rsidR="0072261E">
        <w:rPr>
          <w:i/>
          <w:iCs/>
        </w:rPr>
        <w:t>Via Campesina</w:t>
      </w:r>
      <w:proofErr w:type="spellStart"/>
      <w:r w:rsidR="0072261E">
        <w:rPr>
          <w:i/>
          <w:iCs/>
        </w:rPr>
        <w:t/>
      </w:r>
      <w:proofErr w:type="spellEnd"/>
      <w:r w:rsidR="00BC3D4B">
        <w:t xml:space="preserve">, mas também por movimentos nacionais, a exemplo do movimento por uma SSA na França ou do </w:t>
      </w:r>
      <w:r w:rsidR="00F013CD">
        <w:t/>
      </w:r>
      <w:r w:rsidR="00666930">
        <w:t/>
      </w:r>
      <w:r w:rsidR="00DA3666">
        <w:t/>
      </w:r>
      <w:r w:rsidR="00666930">
        <w:t/>
      </w:r>
      <w:r w:rsidR="003E255D">
        <w:t/>
      </w:r>
      <w:r w:rsidR="00F11770">
        <w:t/>
      </w:r>
      <w:r w:rsidR="00F11770" w:rsidRPr="00F11770">
        <w:rPr>
          <w:i/>
          <w:iCs/>
        </w:rPr>
        <w:t>Fórum Brasileiro de Soberania e Segurança Alimentar e Nutricional</w:t>
      </w:r>
      <w:proofErr w:type="spellStart"/>
      <w:r w:rsidR="00F11770" w:rsidRPr="00F11770">
        <w:rPr>
          <w:i/>
          <w:iCs/>
        </w:rPr>
        <w:t/>
      </w:r>
      <w:proofErr w:type="spellEnd"/>
      <w:r w:rsidR="00F11770" w:rsidRPr="00F11770">
        <w:rPr>
          <w:i/>
          <w:iCs/>
        </w:rPr>
        <w:t/>
      </w:r>
      <w:proofErr w:type="spellStart"/>
      <w:r w:rsidR="00F11770" w:rsidRPr="00F11770">
        <w:rPr>
          <w:i/>
          <w:iCs/>
        </w:rPr>
        <w:t/>
      </w:r>
      <w:proofErr w:type="spellEnd"/>
      <w:r w:rsidR="00F11770" w:rsidRPr="00F11770">
        <w:rPr>
          <w:i/>
          <w:iCs/>
        </w:rPr>
        <w:t/>
      </w:r>
      <w:proofErr w:type="spellStart"/>
      <w:r w:rsidR="00F11770" w:rsidRPr="00F11770">
        <w:rPr>
          <w:i/>
          <w:iCs/>
        </w:rPr>
        <w:t/>
      </w:r>
      <w:proofErr w:type="spellEnd"/>
      <w:r w:rsidR="00F11770" w:rsidRPr="00F11770">
        <w:rPr>
          <w:i/>
          <w:iCs/>
        </w:rPr>
        <w:t/>
      </w:r>
      <w:proofErr w:type="spellStart"/>
      <w:r w:rsidR="00F11770" w:rsidRPr="00F11770">
        <w:rPr>
          <w:i/>
          <w:iCs/>
        </w:rPr>
        <w:t/>
      </w:r>
      <w:proofErr w:type="spellEnd"/>
      <w:r w:rsidR="00F11770">
        <w:rPr>
          <w:i/>
          <w:iCs/>
        </w:rPr>
        <w:t/>
      </w:r>
      <w:r w:rsidR="00F11770">
        <w:t xml:space="preserve"> no Brasil.</w:t>
      </w:r>
      <w:r w:rsidR="00B63CC0">
        <w:t/>
      </w:r>
      <w:r w:rsidR="00A67DA0">
        <w:t/>
      </w:r>
    </w:p>
    <w:p w14:paraId="52FE002F" w14:textId="77777777" w:rsidR="00AC7575" w:rsidRDefault="00AC7575" w:rsidP="00525058">
      <w:pPr>
        <w:jc w:val="both"/>
      </w:pPr>
    </w:p>
    <w:p w14:paraId="2E5EC84D" w14:textId="77777777" w:rsidR="00F24185" w:rsidRDefault="00F24185" w:rsidP="00525058">
      <w:pPr>
        <w:jc w:val="both"/>
      </w:pPr>
    </w:p>
    <w:p w14:paraId="717B81E3" w14:textId="77777777" w:rsidR="00451514" w:rsidRDefault="00451514" w:rsidP="003C5771">
      <w:pPr>
        <w:keepNext/>
        <w:jc w:val="center"/>
      </w:pPr>
      <w:r w:rsidRPr="00451514">
        <w:rPr>
          <w:noProof/>
        </w:rPr>
        <w:lastRenderedPageBreak/>
        <w:drawing>
          <wp:inline distT="0" distB="0" distL="0" distR="0" wp14:anchorId="097CADA7" wp14:editId="58AB0A3B">
            <wp:extent cx="5040000" cy="1098000"/>
            <wp:effectExtent l="0" t="0" r="8255" b="6985"/>
            <wp:docPr id="1695588491" name="Image 1" descr="O diagrama apresenta as relações de consubstancialidade, aliança, proteção social alimentar e abastecimento pelo mercado entre as esferas política, econômica e reprodutiva e a P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8491" name="Image 1" descr="The diagram illustrates a conceptual relationship between political, economic, and social spheres, highlighting their interconnectedness and roles in shaping public policy.&#10;&#10;Le contenu généré par l’IA peut être incorrect."/>
                    <pic:cNvPicPr/>
                  </pic:nvPicPr>
                  <pic:blipFill>
                    <a:blip r:embed="rId10"/>
                    <a:stretch>
                      <a:fillRect/>
                    </a:stretch>
                  </pic:blipFill>
                  <pic:spPr>
                    <a:xfrm>
                      <a:off x="0" y="0"/>
                      <a:ext cx="5040000" cy="1098000"/>
                    </a:xfrm>
                    <a:prstGeom prst="rect">
                      <a:avLst/>
                    </a:prstGeom>
                  </pic:spPr>
                </pic:pic>
              </a:graphicData>
            </a:graphic>
          </wp:inline>
        </w:drawing>
      </w:r>
    </w:p>
    <w:p w14:paraId="2332C682" w14:textId="438FC643" w:rsidR="00C2129E" w:rsidRDefault="00451514" w:rsidP="008F4CEF">
      <w:pPr>
        <w:pStyle w:val="Lgende"/>
        <w:jc w:val="center"/>
      </w:pPr>
      <w:r>
        <w:t xml:space="preserve">Figura </w:t>
      </w:r>
      <w:fldSimple w:instr=" SEQ Figure \* ARABIC ">
        <w:r w:rsidR="00AC6816">
          <w:rPr>
            <w:noProof/>
          </w:rPr>
          <w:t>2</w:t>
        </w:r>
      </w:fldSimple>
      <w:r>
        <w:t xml:space="preserve"> - Estrutura elementar da proteção social alimentar, adaptação de </w:t>
      </w:r>
      <w:r w:rsidR="00122591">
        <w:t/>
      </w:r>
      <w:r w:rsidR="003002C1">
        <w:fldChar w:fldCharType="begin"/>
      </w:r>
      <w:r w:rsidR="00003052">
        <w:instrText xml:space="preserve"> ADDIN ZOTERO_ITEM CSL_CITATION {"citationID":"aYnpcRJO","properties":{"formattedCitation":"(Th\\uc0\\u233{}ret, 1996)","plainCitation":"(Théret, 1996)","noteIndex":0},"citationItems":[{"id":5970,"uris":["http://zotero.org/users/10222123/items/LXSRTR2Q"],"itemData":{"id":5970,"type":"article-journal","abstract":"Revue Française des Affaires Sociales, n° 4, 1996, pp. 165-188. Résumé :","citation-key":"theretStructuresElementairesProtection1996","container-title":"Revue française des affaires sociales, Vol. 50, n°4","source":"www.academia.edu","title":"Les structures élémentaires de la protection sociale","URL":"https://www.academia.edu/14884829/Les_structures_%C3%A9l%C3%A9mentaires_de_la_protection_sociale","author":[{"family":"Théret","given":"Bruno"}],"accessed":{"date-parts":[["2025",1,11]]},"issued":{"date-parts":[["1996",1,1]]}}}],"schema":"https://github.com/citation-style-language/schema/raw/master/csl-citation.json"} </w:instrText>
      </w:r>
      <w:r w:rsidR="003002C1">
        <w:fldChar w:fldCharType="separate"/>
      </w:r>
      <w:r w:rsidR="00DF6BD6" w:rsidRPr="00DF6BD6">
        <w:rPr>
          <w:rFonts w:cs="Times New Roman"/>
          <w:kern w:val="0"/>
        </w:rPr>
        <w:t>(Théret, 1996)</w:t>
      </w:r>
      <w:r w:rsidR="003002C1">
        <w:fldChar w:fldCharType="end"/>
      </w:r>
    </w:p>
    <w:p w14:paraId="723C1D61" w14:textId="458F2B07" w:rsidR="00814D41" w:rsidRDefault="003554ED" w:rsidP="00525058">
      <w:pPr>
        <w:jc w:val="both"/>
      </w:pPr>
      <w:r>
        <w:t xml:space="preserve">Esclareçamos desde já as três esferas no registro alimentar. A esfera da reprodução (R) não se limita apenas à reprodução biológica no âmbito doméstico. Na esteira das feministas da subsistência, sua lógica é a produção social da vida </w:t>
      </w:r>
      <w:r w:rsidR="00D70908">
        <w:t/>
      </w:r>
      <w:r w:rsidR="00B3274D">
        <w:t/>
      </w:r>
      <w:r w:rsidR="004A12BD">
        <w:t/>
      </w:r>
      <w:r w:rsidR="00855A5E">
        <w:t/>
      </w:r>
      <w:r w:rsidR="00696111" w:rsidRPr="00696111">
        <w:t/>
      </w:r>
      <w:r w:rsidR="003533DF">
        <w:t/>
      </w:r>
      <w:r w:rsidR="00E47293">
        <w:t/>
      </w:r>
      <w:r w:rsidR="00C348D7">
        <w:t/>
      </w:r>
      <w:r w:rsidR="00501C85">
        <w:t/>
      </w:r>
      <w:r w:rsidR="00136718">
        <w:fldChar w:fldCharType="begin"/>
      </w:r>
      <w:r w:rsidR="00511B07">
        <w:instrText xml:space="preserve"> ADDIN ZOTERO_ITEM CSL_CITATION {"citationID":"T7tKYNhz","properties":{"formattedCitation":"(Mies, 2014)","plainCitation":"(Mies, 2014)","noteIndex":0},"citationItems":[{"id":14214,"uris":["http://zotero.org/users/10222123/items/KQJSKPW2"],"itemData":{"id":14214,"type":"book","abstract":"'It is my thesis that this general production of life, or subsistence production - mainly performed through the nonwage labour of women and other nonwage labourers as slaves, contract workers and peasants in the colonies - constitutes the perennial basis upon which 'capitalist productive labour' can be built up and exploited'. First published in 1986, Maria Mies' progressive book was hailed as a major paradigm shift for feminist theory and remains a major contribution to development theory and practice today. Tracing the social origins of the sexual division of labor it offers a history of the related processes of colonization and \"housewifization\" and extends this analysis to the contemporary new international division of labor. Mies' theory of capitalist patriarchy has become even more relevant today; this new edition includes a substantial new introduction in which she both applies her theory to the new globalized world and answers her critics","call-number":"HD6060.6","citation-key":"miesPatriarchyAccumulationWorld2014","collection-title":"Critique influence change","ISBN":"978-1-78360-259-9","number-of-pages":"1","publisher":"Zed Books Limited","publisher-place":"London","source":"Library of Congress ISBN","title":"Patriarchy and accumulation on a world scale: women in the international division of labour","title-short":"Patriarchy and accumulation on a world scale","author":[{"family":"Mies","given":"Maria"}],"issued":{"date-parts":[["2014"]]}}}],"schema":"https://github.com/citation-style-language/schema/raw/master/csl-citation.json"} </w:instrText>
      </w:r>
      <w:r w:rsidR="00136718">
        <w:fldChar w:fldCharType="separate"/>
      </w:r>
      <w:r w:rsidR="00DF6BD6" w:rsidRPr="00DF6BD6">
        <w:rPr>
          <w:rFonts w:cs="Times New Roman"/>
        </w:rPr>
        <w:t>(Mies, 2014)</w:t>
      </w:r>
      <w:r w:rsidR="00136718">
        <w:fldChar w:fldCharType="end"/>
      </w:r>
      <w:r w:rsidR="00455EE9">
        <w:t xml:space="preserve">. Esta abrange, analiticamente, vários planos distintos. O primeiro é o da reprodução doméstica propriamente dita: preparo das refeições, compra, cocção, conservação, distribuição intrafamiliar das porções, cuidado alimentar de crianças, pessoas doentes e dependentes, bem como todo o trabalho de cuidado e de socialização alimentar. O segundo é o da reprodução comunitária, que inclui formas de ajuda mútua, cozinhas coletivas, redes de vizinhança, hortas e bens comuns alimentares. O terceiro é o da reprodução das unidades produtivas camponesas quando a atividade agrícola permanece orientada, antes de tudo, para garantir as condições de existência, manter uma base de recursos e assegurar a continuidade da unidade doméstica, em vez de visar à reprodução ampliada do capital </w:t>
      </w:r>
      <w:r w:rsidR="00CA6BB5">
        <w:t/>
      </w:r>
      <w:r w:rsidR="005669A3" w:rsidRPr="005669A3">
        <w:t/>
      </w:r>
      <w:r w:rsidR="005669A3">
        <w:t/>
      </w:r>
      <w:r w:rsidR="00AE5B50">
        <w:fldChar w:fldCharType="begin"/>
      </w:r>
      <w:r w:rsidR="00511B07">
        <w:instrText xml:space="preserve"> ADDIN ZOTERO_ITEM CSL_CITATION {"citationID":"Q50nc3x4","properties":{"formattedCitation":"(Bennholdt\\uc0\\u8208{}Thomsen, 1982; J. D. van der\\uc0\\u160{}Ploeg, 2008)","plainCitation":"(Bennholdt‐Thomsen, 1982; J. D. van der Ploeg, 2008)","noteIndex":0},"citationItems":[{"id":14210,"uris":["http://zotero.org/users/10222123/items/YBQLBSMZ"],"itemData":{"id":14210,"type":"article-journal","abstract":"The present paper deals with what is considered to be the basic contradiction within the capitalist mode of production: the separation of subsistence production from social production. In the following some theses concerning how this separation works for accumulation and the way it is reproduced together with capital are presented. The central argument is that the separation is fundamentally necessary for accumulation. Within our present capitalist world economy housewives on the one hand and peasants (both men and women) on the other are the main subsistence producers. In different concrete forms both reproduce labour power for capital but are not compensated by capital. The way in which these two groups are integrated into the capitalist mode of production is through their marginalization, i.e. they form the consolidated mass of the industrial reserve army. As such they are continuously reproduced together with the process of extended reproduction of capital. They are two basic forms of capitalist relations of production.","citation-key":"bennholdt-thomsenSubsistenceProductionExtended1982","container-title":"The Journal of Peasant Studies","DOI":"10.1080/03066158208438180","ISSN":"0306-6150","issue":"4","note":"_eprint: https://doi.org/10.1080/03066158208438180","page":"241-254","publisher":"Routledge","source":"Taylor and Francis+NEJM","title":"Subsistence production and extended reproduction. A contribution to the discussion about modes of production","volume":"9","author":[{"family":"Bennholdt‐Thomsen","given":"Veronika"}],"issued":{"date-parts":[["1982",7,1]]}}},{"id":14242,"uris":["http://zotero.org/users/10222123/items/UGPZ7YBM"],"itemData":{"id":14242,"type":"book","citation-key":"ploegNewPeasantriesStruggles2008","ISBN":"978-1-84407-558-4","language":"English","publisher":"Earthscan","source":"research.wur.nl","title":"The New Peasantries, struggles for autonomy and sustainability in an era of empire and globalization","URL":"https://research.wur.nl/en/publications/the-new-peasantries-struggles-for-autonomy-and-sustainability-in-/","author":[{"family":"Ploeg","given":"J. D.","non-dropping-particle":"van der"}],"accessed":{"date-parts":[["2026",3,18]]},"issued":{"date-parts":[["2008"]]}}}],"schema":"https://github.com/citation-style-language/schema/raw/master/csl-citation.json"} </w:instrText>
      </w:r>
      <w:r w:rsidR="00AE5B50">
        <w:fldChar w:fldCharType="separate"/>
      </w:r>
      <w:r w:rsidR="00794E16" w:rsidRPr="00794E16">
        <w:rPr>
          <w:rFonts w:cs="Times New Roman"/>
          <w:kern w:val="0"/>
        </w:rPr>
        <w:t>(Bennholdt‐Thomsen, 1982; J. D. van der Ploeg, 2008)</w:t>
      </w:r>
      <w:r w:rsidR="00AE5B50">
        <w:fldChar w:fldCharType="end"/>
      </w:r>
      <w:r w:rsidR="00AE5B50">
        <w:t>. A coerência dessa esfera não decorre, portanto, da homogeneidade empírica das atividades que reúne, mas de uma matriz de lógicas comuns: primazia da subsistência e da continuidade da vida social, orientação para garantir acesso regular à alimentação, manutenção das condições ecológicas e sociais de reprodução e limitação relativa da dependência das mediações mercantis. Nesse sentido, a produção camponesa de subsistência não é assimilada ao trabalho doméstico em sentido estrito, mas nela encontra seu lugar na medida em que participa, como outras atividades reprodutivas, da produção social da vida, em vez da valorização do valor. É precisamente isso que distingue a esfera da reprodução da esfera econômica (E), cuja lógica própria é a circulação mercantil e a reprodução ampliada do capital</w:t>
      </w:r>
      <w:r w:rsidR="00400982">
        <w:t/>
      </w:r>
      <w:r w:rsidR="00B20633" w:rsidRPr="00B20633">
        <w:t/>
      </w:r>
      <w:r w:rsidR="00CB756C" w:rsidRPr="00483230">
        <w:rPr>
          <w:rStyle w:val="Appelnotedebasdep"/>
        </w:rPr>
        <w:footnoteReference w:id="8"/>
      </w:r>
      <w:r w:rsidR="009D0DB2">
        <w:t>.</w:t>
      </w:r>
    </w:p>
    <w:p w14:paraId="6832EA3A" w14:textId="48DCDF4F" w:rsidR="002D78BD" w:rsidRPr="00F01F9F" w:rsidRDefault="002D78BD" w:rsidP="00525058">
      <w:pPr>
        <w:jc w:val="both"/>
      </w:pPr>
      <w:r>
        <w:t xml:space="preserve">É somente através das lentes deformadoras das lógicas da esfera econômica (E) (a valorização pela circulação de bens que permite a acumulação de capital) e da esfera política (P) (orientada pela acumulação de apoio político e pela formação de alianças majoritárias) que a atividade da esfera da reprodução se torna, respectivamente, reprodução de trabalhadoras e trabalhadores ou de sujeitos políticos. Inversamente, o funcionamento das esferas política e econômica depende das boas “condições de fundo” sociais e ecológicas asseguradas pela esfera da reprodução </w:t>
      </w:r>
      <w:r w:rsidR="004D0B30">
        <w:t/>
      </w:r>
      <w:r w:rsidR="00846236">
        <w:t/>
      </w:r>
      <w:r w:rsidR="001306C1">
        <w:t/>
      </w:r>
      <w:r w:rsidR="004D0B30">
        <w:t/>
      </w:r>
      <w:r w:rsidR="00076A21">
        <w:t/>
      </w:r>
      <w:r w:rsidR="004D0B30">
        <w:t/>
      </w:r>
      <w:r w:rsidR="00515D5B">
        <w:t/>
      </w:r>
      <w:r w:rsidR="008E585D">
        <w:t/>
      </w:r>
      <w:r w:rsidR="00A131EE">
        <w:t/>
      </w:r>
      <w:r w:rsidR="00500A90">
        <w:t/>
      </w:r>
      <w:r w:rsidR="005056F9">
        <w:t/>
      </w:r>
      <w:r w:rsidR="00500A90">
        <w:t/>
      </w:r>
      <w:r w:rsidR="00327A35">
        <w:t/>
      </w:r>
      <w:r w:rsidR="007063D2">
        <w:t/>
      </w:r>
      <w:r w:rsidR="00E05E31">
        <w:t/>
      </w:r>
      <w:r w:rsidR="00077C26">
        <w:t/>
      </w:r>
      <w:r w:rsidR="005B4D8F">
        <w:t/>
      </w:r>
      <w:r w:rsidR="00A003D8">
        <w:t/>
      </w:r>
      <w:r w:rsidR="005B4D8F">
        <w:t/>
      </w:r>
      <w:r w:rsidR="00662A38">
        <w:t/>
      </w:r>
      <w:proofErr w:type="spellStart"/>
      <w:r w:rsidR="00E610CE">
        <w:t/>
      </w:r>
      <w:proofErr w:type="spellEnd"/>
      <w:r w:rsidR="00E610CE">
        <w:t/>
      </w:r>
      <w:r w:rsidR="00662A38">
        <w:t/>
      </w:r>
      <w:r w:rsidR="0019526A">
        <w:t/>
      </w:r>
      <w:r w:rsidR="00662A38">
        <w:t/>
      </w:r>
      <w:r w:rsidR="00001010">
        <w:t/>
      </w:r>
      <w:r w:rsidR="001F3963">
        <w:t/>
      </w:r>
      <w:r w:rsidR="00667EDE">
        <w:t/>
      </w:r>
      <w:r w:rsidR="000E75E6">
        <w:t/>
      </w:r>
      <w:r w:rsidR="0062381E">
        <w:t/>
      </w:r>
      <w:r w:rsidR="004E37C8">
        <w:t/>
      </w:r>
      <w:r w:rsidR="00931A89">
        <w:t/>
      </w:r>
      <w:r w:rsidR="00CE1775">
        <w:t/>
      </w:r>
      <w:r w:rsidR="000B7DEF">
        <w:t/>
      </w:r>
      <w:r w:rsidR="005971F2">
        <w:t/>
      </w:r>
      <w:r w:rsidR="00F41C45">
        <w:fldChar w:fldCharType="begin"/>
      </w:r>
      <w:r w:rsidR="00511B07">
        <w:instrText xml:space="preserve"> ADDIN ZOTERO_ITEM CSL_CITATION {"citationID":"czhIGbUx","properties":{"formattedCitation":"(Fraser, 2016)","plainCitation":"(Fraser, 2016)","noteIndex":0},"citationItems":[{"id":14211,"uris":["http://zotero.org/users/10222123/items/WDXAQM2G"],"itemData":{"id":14211,"type":"article-journal","citation-key":"fraserContradictionsCapitalCare2016a","container-title":"New Left Review","issue":"100","page":"99-117","title":"Contradictions of Capital and Care","author":[{"family":"Fraser","given":"Nancy"}],"issued":{"date-parts":[["2016"]]}}}],"schema":"https://github.com/citation-style-language/schema/raw/master/csl-citation.json"} </w:instrText>
      </w:r>
      <w:r w:rsidR="00F41C45">
        <w:fldChar w:fldCharType="separate"/>
      </w:r>
      <w:r w:rsidR="00DF6BD6" w:rsidRPr="00DF6BD6">
        <w:rPr>
          <w:rFonts w:cs="Times New Roman"/>
        </w:rPr>
        <w:t>(Fraser, 2016)</w:t>
      </w:r>
      <w:r w:rsidR="00F41C45">
        <w:fldChar w:fldCharType="end"/>
      </w:r>
      <w:r w:rsidR="000B7DEF">
        <w:t xml:space="preserve">. No registro alimentar, a esfera econômica (E) abrange as atividades de agricultura comercial, transformação, logística, distribuição e serviços de alimentação, mas também os mercados fundiários e todas as atividades de valorização financeira das commodities agrícolas e das terras; em suma, o </w:t>
      </w:r>
      <w:r w:rsidR="00274A2C">
        <w:t/>
      </w:r>
      <w:r w:rsidR="003C5348">
        <w:t/>
      </w:r>
      <w:r w:rsidR="007118C9">
        <w:t/>
      </w:r>
      <w:r w:rsidR="003C5348">
        <w:t/>
      </w:r>
      <w:r w:rsidR="0042267F">
        <w:t/>
      </w:r>
      <w:r w:rsidR="000B2365">
        <w:t/>
      </w:r>
      <w:r w:rsidR="00D74F5E">
        <w:t/>
      </w:r>
      <w:r w:rsidR="00D74F5E">
        <w:lastRenderedPageBreak/>
        <w:t/>
      </w:r>
      <w:r w:rsidR="00125A3A">
        <w:t/>
      </w:r>
      <w:r w:rsidR="00DA53C2">
        <w:rPr>
          <w:i/>
          <w:iCs/>
        </w:rPr>
        <w:t>agronegócio</w:t>
      </w:r>
      <w:r w:rsidR="003541C8" w:rsidRPr="00483230">
        <w:rPr>
          <w:rStyle w:val="Appelnotedebasdep"/>
        </w:rPr>
        <w:footnoteReference w:id="9"/>
      </w:r>
      <w:r w:rsidR="00F161CA">
        <w:t xml:space="preserve"> ou a indústria agroalimentar. Entre esses dois tipos ideais há, evidentemente, um continuum, no nível de cada estabelecimento agrícola, de hibridização entre agricultura camponesa e comercial </w:t>
      </w:r>
      <w:r w:rsidR="005C0F12">
        <w:t/>
      </w:r>
      <w:r w:rsidR="00D74F5E">
        <w:t/>
      </w:r>
      <w:r w:rsidR="00313026">
        <w:t/>
      </w:r>
      <w:r w:rsidR="005D1C8E">
        <w:t/>
      </w:r>
      <w:r w:rsidR="00313026">
        <w:t/>
      </w:r>
      <w:r w:rsidR="002316EA">
        <w:t/>
      </w:r>
      <w:r w:rsidR="00F348EB">
        <w:t/>
      </w:r>
      <w:r w:rsidR="00020D8E">
        <w:t/>
      </w:r>
      <w:r w:rsidR="000B0466">
        <w:t/>
      </w:r>
      <w:r w:rsidR="00F01F9F">
        <w:fldChar w:fldCharType="begin"/>
      </w:r>
      <w:r w:rsidR="00F01F9F">
        <w:instrText xml:space="preserve"> ADDIN ZOTERO_ITEM CSL_CITATION {"citationID":"FGWRPQiS","properties":{"formattedCitation":"(Bernstein, 2010)","plainCitation":"(Bernstein, 2010)","noteIndex":0},"citationItems":[{"id":5918,"uris":["http://zotero.org/users/10222123/items/YY7P6RCY"],"itemData":{"id":5918,"type":"book","abstract":"Development processes are never neutral. They impact various groups and classes of people differently. A high food price may benefit some rich peasants who produce and sell food surplus, but it may disadvantage landless rural laborers. A project on irrigation may benefit those who own the land, but not the landless tenants. Nowadays, official documents by governments and development agencies tend to lump different groups of people into vague categories like \"rural poor\". This might be useful in some cases, but in large part this thinking can harm the poorest of the poor. Using Marx's theory of capitalism, Class Dynamics of Agrarian Change argues that class dynamics should be the starting point of any analysis of agrarian change. It provides an accessible introduction to agrarian political economy while showing clearly how the argument for \"bringing class back in\" provides an alternative to inherited conceptions of the agrarian question. It illustrates what is at stake in different ways of thinking about class dynamics and the effects of agrarian change in today's globalized world.","citation-key":"bernsteinClassDynamicsAgrarian2010","ISBN":"978-1-56549-356-8","language":"Anglais","number-of-pages":"160","publisher":"Kumarian Press","publisher-place":"Halifax, N.S. : Sterling, VA","source":"Amazon","title":"Class Dynamics of Agrarian Change","author":[{"family":"Bernstein","given":"Henry"}],"issued":{"date-parts":[["2010",8,30]]}}}],"schema":"https://github.com/citation-style-language/schema/raw/master/csl-citation.json"} </w:instrText>
      </w:r>
      <w:r w:rsidR="00F01F9F">
        <w:fldChar w:fldCharType="separate"/>
      </w:r>
      <w:r w:rsidR="00F01F9F" w:rsidRPr="00F01F9F">
        <w:rPr>
          <w:rFonts w:cs="Times New Roman"/>
        </w:rPr>
        <w:t>(Bernstein, 2010)</w:t>
      </w:r>
      <w:r w:rsidR="00F01F9F">
        <w:fldChar w:fldCharType="end"/>
      </w:r>
      <w:r w:rsidR="00954596">
        <w:t>, mais ou menos polarizado para um ou outro polo conforme as situações nacionais</w:t>
      </w:r>
      <w:r w:rsidR="0035584E">
        <w:t/>
      </w:r>
      <w:r w:rsidR="0019439D">
        <w:t/>
      </w:r>
      <w:r w:rsidR="004F317A" w:rsidRPr="00483230">
        <w:rPr>
          <w:rStyle w:val="Appelnotedebasdep"/>
        </w:rPr>
        <w:footnoteReference w:id="10"/>
      </w:r>
      <w:r w:rsidR="00903B5D">
        <w:t xml:space="preserve"> e dentro delas. Assim, as formas assumidas pelas unidades produtoras frequentemente consideradas camponesas podem apresentar diferentes graus de inserção parcial nas lógicas econômicas dominantes do modo de produção capitalista.</w:t>
      </w:r>
      <w:r w:rsidR="0019439D">
        <w:t/>
      </w:r>
      <w:r w:rsidR="007B790D">
        <w:t/>
      </w:r>
      <w:r w:rsidR="006C6392">
        <w:t/>
      </w:r>
      <w:r w:rsidR="007B790D">
        <w:t/>
      </w:r>
      <w:r w:rsidR="00D120F9">
        <w:t/>
      </w:r>
      <w:r w:rsidR="001D6AA3">
        <w:t/>
      </w:r>
      <w:r w:rsidR="003B1C8D">
        <w:t/>
      </w:r>
      <w:r w:rsidR="00E23D02">
        <w:t/>
      </w:r>
      <w:r w:rsidR="00D120F9">
        <w:t/>
      </w:r>
      <w:r w:rsidR="00330D82">
        <w:t/>
      </w:r>
      <w:r w:rsidR="00C019C6">
        <w:t/>
      </w:r>
      <w:r w:rsidR="001875FA">
        <w:t/>
      </w:r>
      <w:r w:rsidR="002B0D5F">
        <w:t/>
      </w:r>
      <w:r w:rsidR="001875FA">
        <w:t/>
      </w:r>
    </w:p>
    <w:p w14:paraId="23DA47CF" w14:textId="15C33A70" w:rsidR="00A90509" w:rsidRDefault="001F0379" w:rsidP="00525058">
      <w:pPr>
        <w:jc w:val="both"/>
      </w:pPr>
      <w:r>
        <w:t xml:space="preserve">A mediação alimentar (PSA) é consubstancial à esfera econômica, pois a expulsão dos camponeses de suas terras e de seus comuns alimentares, a formação das grandes cidades industriais e, em seguida, a mercantilização crescente da alimentação provocam uma crise permanente da reprodução alimentar, à qual respondem diversos dispositivos institucionais social e historicamente situados </w:t>
      </w:r>
      <w:r w:rsidR="00DA515F">
        <w:t/>
      </w:r>
      <w:r w:rsidR="004378BA">
        <w:t/>
      </w:r>
      <w:r w:rsidR="006D43DB">
        <w:t/>
      </w:r>
      <w:r w:rsidR="0080634E">
        <w:t/>
      </w:r>
      <w:r w:rsidR="00DB5D15">
        <w:t/>
      </w:r>
      <w:r w:rsidR="00F64A5B">
        <w:t/>
      </w:r>
      <w:r w:rsidR="00CE4CE1">
        <w:t/>
      </w:r>
      <w:r w:rsidR="005148E7">
        <w:t/>
      </w:r>
      <w:r w:rsidR="00C32281">
        <w:t/>
      </w:r>
      <w:r w:rsidR="00EA5835">
        <w:t/>
      </w:r>
      <w:r w:rsidR="00C32281">
        <w:t/>
      </w:r>
      <w:r w:rsidR="005148E7">
        <w:t/>
      </w:r>
      <w:r w:rsidR="0080634E">
        <w:t/>
      </w:r>
      <w:r w:rsidR="00271543">
        <w:t/>
      </w:r>
      <w:r w:rsidR="002853B4">
        <w:t/>
      </w:r>
      <w:r w:rsidR="00FA6BA8">
        <w:t/>
      </w:r>
      <w:r w:rsidR="00C73EFC">
        <w:t/>
      </w:r>
      <w:r w:rsidR="002853B4">
        <w:t/>
      </w:r>
      <w:r w:rsidR="00DE7C94">
        <w:t/>
      </w:r>
      <w:r w:rsidR="00676CFA">
        <w:t/>
      </w:r>
      <w:r w:rsidR="00D842E0">
        <w:t/>
      </w:r>
      <w:r w:rsidR="00CE597D">
        <w:t/>
      </w:r>
      <w:r w:rsidR="006B0AEA">
        <w:t/>
      </w:r>
      <w:r w:rsidR="00BC5CC6">
        <w:t/>
      </w:r>
      <w:r w:rsidR="00042843">
        <w:fldChar w:fldCharType="begin"/>
      </w:r>
      <w:r w:rsidR="00511B07">
        <w:instrText xml:space="preserve"> ADDIN ZOTERO_ITEM CSL_CITATION {"citationID":"QJuA28Qz","properties":{"formattedCitation":"(Reti\\uc0\\u232{}re, 2021)","plainCitation":"(Retière, 2021)","noteIndex":0},"citationItems":[{"id":14129,"uris":["http://zotero.org/users/10222123/items/QMN99X8E"],"itemData":{"id":14129,"type":"article-journal","citation-key":"retiereNourrirPauvresQuatre2021","container-title":"Vie sociale","DOI":"10.3917/vsoc.214.0023","ISSN":"0042-5605","issue":"4","language":"fr","page":"23-35","publisher":"érès","section":"Science politique","source":"shs.cairn.info","title":"Nourrir les pauvres : les quatre âges de l’aide alimentaire","title-short":"Nourrir les pauvres","volume":"36","author":[{"family":"Retière","given":"Jean-Noël"}],"issued":{"date-parts":[["2021"]]}}}],"schema":"https://github.com/citation-style-language/schema/raw/master/csl-citation.json"} </w:instrText>
      </w:r>
      <w:r w:rsidR="00042843">
        <w:fldChar w:fldCharType="separate"/>
      </w:r>
      <w:r w:rsidR="00DF6BD6" w:rsidRPr="00DF6BD6">
        <w:rPr>
          <w:rFonts w:cs="Times New Roman"/>
          <w:kern w:val="0"/>
        </w:rPr>
        <w:t>(Retière, 2021)</w:t>
      </w:r>
      <w:r w:rsidR="00042843">
        <w:fldChar w:fldCharType="end"/>
      </w:r>
      <w:r w:rsidR="006F4ED4">
        <w:t xml:space="preserve">, relacionados tanto ao acesso socializado à alimentação quanto à terra. Assim como no estágio de gênese da proteção social, historicamente herdado, na França, das caixas de socorro mútuo, caixas patronais e sindicatos operários </w:t>
      </w:r>
      <w:r w:rsidR="0041743F">
        <w:t/>
      </w:r>
      <w:r w:rsidR="00437A08">
        <w:t/>
      </w:r>
      <w:r w:rsidR="00EC6AD1">
        <w:t/>
      </w:r>
      <w:r w:rsidR="0094567E">
        <w:t/>
      </w:r>
      <w:r w:rsidR="00F82FA5">
        <w:t/>
      </w:r>
      <w:r w:rsidR="008F43CC">
        <w:t/>
      </w:r>
      <w:r w:rsidR="00DF3A48">
        <w:t/>
      </w:r>
      <w:r w:rsidR="005B146C">
        <w:t/>
      </w:r>
      <w:r w:rsidR="00FD4411">
        <w:t/>
      </w:r>
      <w:r w:rsidR="005B146C">
        <w:t/>
      </w:r>
      <w:r w:rsidR="00120E70">
        <w:t/>
      </w:r>
      <w:r w:rsidR="003578A6">
        <w:t/>
      </w:r>
      <w:r w:rsidR="00336B7C">
        <w:t/>
      </w:r>
      <w:r w:rsidR="003578A6">
        <w:t/>
      </w:r>
      <w:r w:rsidR="00345750">
        <w:t/>
      </w:r>
      <w:r w:rsidR="00401EAB">
        <w:t/>
      </w:r>
      <w:r w:rsidR="00465EAE">
        <w:t/>
      </w:r>
      <w:r w:rsidR="005A01E7">
        <w:t/>
      </w:r>
      <w:r w:rsidR="00612836">
        <w:t/>
      </w:r>
      <w:r w:rsidR="005954FD">
        <w:t/>
      </w:r>
      <w:r w:rsidR="005954FD">
        <w:fldChar w:fldCharType="begin"/>
      </w:r>
      <w:r w:rsidR="00964271">
        <w:instrText xml:space="preserve"> ADDIN ZOTERO_ITEM CSL_CITATION {"citationID":"G70FpXVB","properties":{"unsorted":false,"formattedCitation":"(Da Silva, 2022)","plainCitation":"(Da Silva, 2022)","noteIndex":0},"citationItems":[{"id":13394,"uris":["http://zotero.org/users/10222123/items/Z2BWUS5B"],"itemData":{"id":13394,"type":"book","citation-key":"dasilvaBatailleSecuHistoire2022b","ISBN":"978-2-35872-241-4","language":"fre","number-of-pages":"294","publisher":"La fabrique éditions","publisher-place":"Paris","source":"K10plus ISBN","title":"La bataille de la Sécu: une histoire du système de santé","title-short":"La bataille de la Sécu","author":[{"family":"Da Silva","given":"Nicolas"}],"contributor":[{"family":"Friot","given":"Bernard"}],"issued":{"date-parts":[["2022"]]}}}],"schema":"https://github.com/citation-style-language/schema/raw/master/csl-citation.json"} </w:instrText>
      </w:r>
      <w:r w:rsidR="005954FD">
        <w:fldChar w:fldCharType="separate"/>
      </w:r>
      <w:r w:rsidR="00964271" w:rsidRPr="00964271">
        <w:rPr>
          <w:rFonts w:cs="Times New Roman"/>
        </w:rPr>
        <w:t>(Da Silva, 2022)</w:t>
      </w:r>
      <w:r w:rsidR="005954FD">
        <w:fldChar w:fldCharType="end"/>
      </w:r>
      <w:r w:rsidR="005B146C">
        <w:t xml:space="preserve">, esses primeiros dispositivos de proteção social alimentar são consubstanciais à ordem econômica, pois é o movimento imposto pela economia capitalista à alimentação que lhes confere uma função social de estabilização. Essa consubstancialidade com a esfera econômica é posteriormente acompanhada e complementada por uma relação de aliança com o Estado. Como mencionado acima, a garantia e a estabilização das colheitas de um ano para outro rapidamente se tornam uma função assumida pelo Estado </w:t>
      </w:r>
      <w:r w:rsidR="00561915">
        <w:t/>
      </w:r>
      <w:r w:rsidR="00DF3A48">
        <w:t/>
      </w:r>
      <w:r w:rsidR="00410380">
        <w:t/>
      </w:r>
      <w:r w:rsidR="00ED3D85">
        <w:t/>
      </w:r>
      <w:r w:rsidR="00410380">
        <w:t/>
      </w:r>
      <w:r w:rsidR="0094763B">
        <w:t/>
      </w:r>
      <w:r w:rsidR="00046806">
        <w:t/>
      </w:r>
      <w:r w:rsidR="0000590A">
        <w:t/>
      </w:r>
      <w:r w:rsidR="005A7E12">
        <w:t/>
      </w:r>
      <w:r w:rsidR="00544835">
        <w:t/>
      </w:r>
      <w:r w:rsidR="005A7E12">
        <w:t/>
      </w:r>
      <w:r w:rsidR="004326D2">
        <w:t/>
      </w:r>
      <w:r w:rsidR="00365050">
        <w:t/>
      </w:r>
      <w:r w:rsidR="00FE5DDD">
        <w:t/>
      </w:r>
      <w:r w:rsidR="00DA558F">
        <w:t/>
      </w:r>
      <w:r w:rsidR="00DA558F" w:rsidRPr="00194D93">
        <w:t/>
      </w:r>
      <w:r w:rsidR="00701BC3">
        <w:t/>
      </w:r>
      <w:r w:rsidR="000461E1">
        <w:t/>
      </w:r>
      <w:r w:rsidR="000461E1" w:rsidRPr="00194D93">
        <w:t/>
      </w:r>
      <w:r w:rsidR="000461E1">
        <w:t/>
      </w:r>
      <w:r w:rsidR="00877671">
        <w:t/>
      </w:r>
      <w:r w:rsidR="00877671">
        <w:fldChar w:fldCharType="begin"/>
      </w:r>
      <w:r w:rsidR="00511B07">
        <w:instrText xml:space="preserve"> ADDIN ZOTERO_ITEM CSL_CITATION {"citationID":"GQofWQ34","properties":{"formattedCitation":"(Tilly, 1974)","plainCitation":"(Tilly, 1974)","noteIndex":0},"citationItems":[{"id":14188,"uris":["http://zotero.org/users/10222123/items/5D9JUSPQ"],"itemData":{"id":14188,"type":"book","citation-key":"tillyFoodSupplyPublic1974","language":"en","note":"Google-Books-ID: t0kzGwAACAAJ","number-of-pages":"282","source":"Google Books","title":"Food Supply and Public Order in Modern Europe","author":[{"family":"Tilly","given":"Charles"}],"issued":{"date-parts":[["1974"]]}}}],"schema":"https://github.com/citation-style-language/schema/raw/master/csl-citation.json"} </w:instrText>
      </w:r>
      <w:r w:rsidR="00877671">
        <w:fldChar w:fldCharType="separate"/>
      </w:r>
      <w:r w:rsidR="00DF6BD6" w:rsidRPr="00DF6BD6">
        <w:rPr>
          <w:rFonts w:cs="Times New Roman"/>
        </w:rPr>
        <w:t>(Tilly, 1974)</w:t>
      </w:r>
      <w:r w:rsidR="00877671">
        <w:fldChar w:fldCharType="end"/>
      </w:r>
      <w:r w:rsidR="00234ABA">
        <w:t>.</w:t>
      </w:r>
    </w:p>
    <w:p w14:paraId="75CC812D" w14:textId="752E7234" w:rsidR="00AC475E" w:rsidRDefault="00AC475E" w:rsidP="00AC475E">
      <w:pPr>
        <w:jc w:val="both"/>
      </w:pPr>
      <w:r>
        <w:t xml:space="preserve">Na França, assim como no Brasil, o período que se estende do pós-guerra até os anos 1990 pode ser interpretado como uma sequência de modernização agrícola hegemonizada pelo referencial norte-americano de produtividade e centrada nos territórios nacionais </w:t>
      </w:r>
      <w:r w:rsidR="00727A64">
        <w:t/>
      </w:r>
      <w:r>
        <w:t/>
      </w:r>
      <w:r w:rsidR="00727A64">
        <w:t/>
      </w:r>
      <w:r>
        <w:t/>
      </w:r>
      <w:r w:rsidR="00733136">
        <w:t/>
      </w:r>
      <w:r w:rsidR="00642FDA">
        <w:t/>
      </w:r>
      <w:r w:rsidR="00AC6816">
        <w:t/>
      </w:r>
      <w:r w:rsidR="00292CE4">
        <w:fldChar w:fldCharType="begin"/>
      </w:r>
      <w:r w:rsidR="007C1A0D">
        <w:instrText xml:space="preserve"> ADDIN ZOTERO_ITEM CSL_CITATION {"citationID":"D91ddiPG","properties":{"formattedCitation":"(Ansaloni &amp; Allaire, 2016; Friedmann &amp; McMichael, 1989)","plainCitation":"(Ansaloni &amp; Allaire, 2016; Friedmann &amp; McMichael, 1989)","noteIndex":0},"citationItems":[{"id":5795,"uris":["http://zotero.org/users/10222123/items/JQL4Y3Z2"],"itemData":{"id":5795,"type":"article-journal","abstract":"Beginning with a theoretical and empirical critique of the prevailing \"ideal' development model of complementary intersectoral linkages between agriculture and industry, a fresh perspective on the historical impacts of agriculture on the global state system, based on the concept of \"food regime', is developed. The nineteenth century process of national-state formation is seen as a systemic process in which settler states and their agriculturalists provisioned the growing European working classes and became the basis of a new type of trade within a new international order. Late twentieth century agriculture is conceptualized in terms of an intensive system in which consumption relations have been reconstructed as part of the process of capital accumulation and of the growing power of capital undercutting state policies directing agriculture to national ends. -Authors","citation-key":"friedmannAgricultureStateSystem1989","container-title":"Sociologia Ruralis","DOI":"10.1111/j.1467-9523.1989.tb00360.x","journalAbbreviation":"Sociologia Ruralis","page":"93-117","source":"ResearchGate","title":"Agriculture and the State System: The Rise and Decline of National Agriculture","title-short":"‘Agriculture and the State System","volume":"29","author":[{"family":"Friedmann","given":"Harriet"},{"family":"McMichael","given":"Philip"}],"issued":{"date-parts":[["1989"]]}}},{"id":5768,"uris":["http://zotero.org/users/10222123/items/9EC3KQBY"],"itemData":{"id":5768,"type":"article-journal","abstract":"Cet article analyse les trajectoires de libéralisation des politiques agricoles anglaises et française. Mêlant théorie de la régulation et science politique, il éclaire leurs spécificités à partir de trois mécanismes qui touchent à la division nationale du travail intellectuel sur l’agriculture, à la production de la contrainte économique, enfin à l’État qui, par ses actions, stabilise momentanément les rapports de force. De manière générale, à partir du triptyque « régime de politique publique, coalition, ressource », cet article trace les grandes lignes d’une sociologie matérialiste de l’hégémonie économique.","citation-key":"ansaloniGrandeTransformationPolitiques2016","container-title":"Revue de la régulation. Capitalisme, institutions, pouvoirs","DOI":"10.4000/regulation.12168","ISSN":"1957-7796","issue":"20","language":"fr","license":"https://creativecommons.org/licenses/by-nc-nd/4.0/","note":"number: 20","publisher":"Association Recherche &amp; Régulation","source":"journals.openedition.org","title":"La grande transformation des politiques agricoles anglaise et française : une sociologie de l’hégémonie économique","title-short":"La grande transformation des politiques agricoles anglaise et française","URL":"https://journals.openedition.org/regulation/12168","author":[{"family":"Ansaloni","given":"Matthieu"},{"family":"Allaire","given":"Gilles"}],"accessed":{"date-parts":[["2024",12,16]]},"issued":{"date-parts":[["2016",12,20]]}}}],"schema":"https://github.com/citation-style-language/schema/raw/master/csl-citation.json"} </w:instrText>
      </w:r>
      <w:r w:rsidR="00292CE4">
        <w:fldChar w:fldCharType="separate"/>
      </w:r>
      <w:r w:rsidR="007C1A0D" w:rsidRPr="007C1A0D">
        <w:rPr>
          <w:rFonts w:cs="Times New Roman"/>
        </w:rPr>
        <w:t>(Ansaloni &amp; Allaire, 2016; Friedmann &amp; McMichael, 1989)</w:t>
      </w:r>
      <w:r w:rsidR="00292CE4">
        <w:fldChar w:fldCharType="end"/>
      </w:r>
      <w:r w:rsidR="00221CD1">
        <w:t xml:space="preserve">. A segurança alimentar é inicialmente concebida como uma abundância mercantil que oferece uma solução para a fome, apoiada em um sistema imperialista de ajuda alimentar e ajuda ao desenvolvimento que difunde a “Revolução Verde” no Sul Global, sob dependência de tecnologias norte-americanas </w:t>
      </w:r>
      <w:r>
        <w:t/>
      </w:r>
      <w:r w:rsidR="00590949">
        <w:t/>
      </w:r>
      <w:r>
        <w:t/>
      </w:r>
      <w:r w:rsidR="00D34DDD">
        <w:t/>
      </w:r>
      <w:r>
        <w:t/>
      </w:r>
      <w:r w:rsidR="00F700C2">
        <w:t/>
      </w:r>
      <w:r w:rsidR="000F6E8D">
        <w:t/>
      </w:r>
      <w:r w:rsidR="00F700C2">
        <w:t/>
      </w:r>
      <w:r w:rsidR="00151F68">
        <w:t/>
      </w:r>
      <w:r w:rsidR="00C67B75">
        <w:t/>
      </w:r>
      <w:r w:rsidR="00151F68">
        <w:t/>
      </w:r>
      <w:r w:rsidR="00B0728D">
        <w:t/>
      </w:r>
      <w:r w:rsidR="00997245">
        <w:t/>
      </w:r>
      <w:r w:rsidR="00D60737">
        <w:t/>
      </w:r>
      <w:r w:rsidR="007232B8">
        <w:t/>
      </w:r>
      <w:r w:rsidR="00E21173">
        <w:fldChar w:fldCharType="begin"/>
      </w:r>
      <w:r w:rsidR="00003052">
        <w:instrText xml:space="preserve"> ADDIN ZOTERO_ITEM CSL_CITATION {"citationID":"9cYzKo7I","properties":{"formattedCitation":"(Bernard de Raymond &amp; Thivet, 2021)","plainCitation":"(Bernard de Raymond &amp; Thivet, 2021)","noteIndex":0},"citationItems":[{"id":799,"uris":["http://zotero.org/users/10222123/items/I3S3FYHJ"],"itemData":{"id":799,"type":"book","citation-key":"bernardderaymondMondeSansFaim2021","edition":"Presses de Sciences Po","ISBN":"978-2-7246-2770-1","language":"fr","source":"shs.cairn.info","title":"Un monde sans faim","URL":"https://shs.cairn.info/un-monde-sans-faim--9782724627701?lang=fr","author":[{"family":"Bernard de Raymond","given":"Antoine"},{"family":"Thivet","given":"Delphine"}],"accessed":{"date-parts":[["2024",9,9]]},"issued":{"date-parts":[["2021"]]}}}],"schema":"https://github.com/citation-style-language/schema/raw/master/csl-citation.json"} </w:instrText>
      </w:r>
      <w:r w:rsidR="00E21173">
        <w:fldChar w:fldCharType="separate"/>
      </w:r>
      <w:r w:rsidR="00DF6BD6" w:rsidRPr="00DF6BD6">
        <w:rPr>
          <w:rFonts w:cs="Times New Roman"/>
        </w:rPr>
        <w:t>(Bernard de Raymond &amp; Thivet, 2021)</w:t>
      </w:r>
      <w:r w:rsidR="00E21173">
        <w:fldChar w:fldCharType="end"/>
      </w:r>
      <w:r>
        <w:t xml:space="preserve">. Na França, a modernização é institucionalizada pela cogestão entre o Estado, a FNSEA e o Centre National des Jeunes Agriculteurs (CNJA), desde as leis de orientação de 1960-1962 e a implementação da primeira PAC. Essa configuração torna as organizações majoritárias interlocutores privilegiados do Estado e estabiliza um referencial produtivista duradouro. Simultaneamente, os segmentos a jusante do sistema alimentar se reestruturam em torno da grande distribuição. Essa expansão acompanha a generalização de uma relação de abastecimento na qual o acesso à alimentação ocorre prioritariamente pelo mercado e por cadeias longas, padronizadas e industrializadas. No Brasil, observa-se uma dinâmica homóloga. A modernização impulsionada sobretudo durante a ditadura militar articula crédito rural, pesquisa agronômica, especialização produtiva e integração agroindustrial. No âmbito alimentar, o sistema de abastecimento também se desloca para a grande distribuição. As décadas de 1960 a 1980 são dominadas por um referencial produtivista e de abastecimento centrado na oferta, na modernização agrícola e na circulação mercantil dos alimentos. Em ambos os casos, a segurança alimentar dominante consiste em uma inserção segura da alimentação no mercado, governada pelo Estado em aliança com as organizações agrícolas dominantes, a agroindústria e, cada vez mais, a grande distribuição (relação de abastecimento pelo mercado E-R). Representamos esse acesso semelhante à produção do enquadramento político dominante (dos </w:t>
      </w:r>
      <w:r w:rsidR="000B2632">
        <w:t/>
      </w:r>
      <w:r>
        <w:t/>
      </w:r>
      <w:r w:rsidR="000B2632">
        <w:t/>
      </w:r>
      <w:r>
        <w:t/>
      </w:r>
      <w:r w:rsidR="00A17312">
        <w:t/>
      </w:r>
      <w:r w:rsidR="00D209D3">
        <w:t/>
      </w:r>
      <w:r>
        <w:t/>
      </w:r>
      <w:r w:rsidR="00DE6D53">
        <w:t/>
      </w:r>
      <w:r>
        <w:t/>
      </w:r>
      <w:r w:rsidR="001956F7">
        <w:t/>
      </w:r>
      <w:r>
        <w:t/>
      </w:r>
      <w:r w:rsidR="000B12A2">
        <w:t/>
      </w:r>
      <w:r w:rsidR="005535B5">
        <w:t/>
      </w:r>
      <w:r>
        <w:t/>
      </w:r>
      <w:r w:rsidR="003825D2">
        <w:t/>
      </w:r>
      <w:r>
        <w:t/>
      </w:r>
      <w:r w:rsidR="001C6047">
        <w:t/>
      </w:r>
      <w:r>
        <w:t/>
      </w:r>
      <w:r>
        <w:lastRenderedPageBreak/>
        <w:t/>
      </w:r>
      <w:r w:rsidR="00EC15CA">
        <w:t/>
      </w:r>
      <w:r>
        <w:t/>
      </w:r>
      <w:r w:rsidR="00EC15CA">
        <w:t/>
      </w:r>
      <w:r>
        <w:t/>
      </w:r>
      <w:r w:rsidR="000437D8">
        <w:t/>
      </w:r>
      <w:r>
        <w:t/>
      </w:r>
      <w:r w:rsidR="00F7218C">
        <w:t/>
      </w:r>
      <w:r w:rsidR="005B053A">
        <w:t/>
      </w:r>
      <w:r>
        <w:t/>
      </w:r>
      <w:r w:rsidR="005D0995">
        <w:t/>
      </w:r>
      <w:r>
        <w:t/>
      </w:r>
      <w:r w:rsidR="00B842B3">
        <w:t/>
      </w:r>
      <w:r>
        <w:t/>
      </w:r>
      <w:r w:rsidR="00724FCA">
        <w:t/>
      </w:r>
      <w:r w:rsidR="005F3BFF">
        <w:t/>
      </w:r>
      <w:r w:rsidR="00724FCA">
        <w:t/>
      </w:r>
      <w:r>
        <w:t/>
      </w:r>
      <w:r w:rsidR="00B35D50">
        <w:t/>
      </w:r>
      <w:r w:rsidR="00B0089A">
        <w:t/>
      </w:r>
      <w:r w:rsidR="00B0089A" w:rsidRPr="003C1B1C">
        <w:rPr>
          <w:i/>
          <w:iCs/>
        </w:rPr>
        <w:t>“referenciais”</w:t>
      </w:r>
      <w:r w:rsidR="003C1B1C" w:rsidRPr="003C1B1C">
        <w:rPr>
          <w:i/>
          <w:iCs/>
        </w:rPr>
        <w:t/>
      </w:r>
      <w:r w:rsidR="00B0089A" w:rsidRPr="003C1B1C">
        <w:rPr>
          <w:i/>
          <w:iCs/>
        </w:rPr>
        <w:t/>
      </w:r>
      <w:r w:rsidR="003C1B1C">
        <w:t xml:space="preserve"> de políticas públicas </w:t>
      </w:r>
      <w:r w:rsidR="00271AA8">
        <w:t/>
      </w:r>
      <w:r w:rsidR="0046007E">
        <w:fldChar w:fldCharType="begin"/>
      </w:r>
      <w:r w:rsidR="00003052">
        <w:instrText xml:space="preserve"> ADDIN ZOTERO_ITEM CSL_CITATION {"citationID":"4uyms8cs","properties":{"formattedCitation":"(Jobert &amp; Muller, 1987)","plainCitation":"(Jobert &amp; Muller, 1987)","noteIndex":0},"citationItems":[{"id":13898,"uris":["http://zotero.org/users/10222123/items/4UMCGENE"],"itemData":{"id":13898,"type":"book","call-number":"JC478 .J63 1987","citation-key":"jobertLEtatActionPolitiques1987","collection-title":"Recherches politiques","edition":"1re éd","ISBN":"978-2-13-040165-0","number-of-pages":"242","publisher":"Presses universitaires de France","publisher-place":"Paris","source":"Library of Congress ISBN","title":"L'État en action: politiques publiques et corporatismes","title-short":"L'État en action","author":[{"family":"Jobert","given":"Bruno"},{"family":"Muller","given":"Pierre"}],"issued":{"date-parts":[["1987"]]}}}],"schema":"https://github.com/citation-style-language/schema/raw/master/csl-citation.json"} </w:instrText>
      </w:r>
      <w:r w:rsidR="0046007E">
        <w:fldChar w:fldCharType="separate"/>
      </w:r>
      <w:r w:rsidR="00DF6BD6" w:rsidRPr="00DF6BD6">
        <w:rPr>
          <w:rFonts w:cs="Times New Roman"/>
        </w:rPr>
        <w:t>(Jobert &amp; Muller, 1987)</w:t>
      </w:r>
      <w:r w:rsidR="0046007E">
        <w:fldChar w:fldCharType="end"/>
      </w:r>
      <w:r w:rsidR="006D099A">
        <w:t xml:space="preserve">) pela relação [PSA←E] na </w:t>
      </w:r>
      <w:r w:rsidR="00B0089A">
        <w:t/>
      </w:r>
      <w:r w:rsidR="00E34652">
        <w:t/>
      </w:r>
      <w:r w:rsidR="00384F56">
        <w:t/>
      </w:r>
      <w:r w:rsidR="0074181E">
        <w:t/>
      </w:r>
      <w:r w:rsidR="00BE1697" w:rsidRPr="00BE1697">
        <w:t/>
      </w:r>
      <w:r w:rsidR="00BE1697">
        <w:t/>
      </w:r>
      <w:r w:rsidR="00384F56">
        <w:t/>
      </w:r>
      <w:r w:rsidR="00A45F86">
        <w:t/>
      </w:r>
      <w:r w:rsidR="0044488E">
        <w:t/>
      </w:r>
      <w:r w:rsidR="00020E39">
        <w:fldChar w:fldCharType="begin"/>
      </w:r>
      <w:r w:rsidR="00020E39">
        <w:instrText xml:space="preserve"> REF _Ref224810355 \h </w:instrText>
      </w:r>
      <w:r w:rsidR="00020E39">
        <w:fldChar w:fldCharType="separate"/>
      </w:r>
      <w:r w:rsidR="00020E39">
        <w:t xml:space="preserve">Figure </w:t>
      </w:r>
      <w:r w:rsidR="00020E39">
        <w:rPr>
          <w:noProof/>
        </w:rPr>
        <w:t>3</w:t>
      </w:r>
      <w:r w:rsidR="00020E39">
        <w:fldChar w:fldCharType="end"/>
      </w:r>
      <w:r w:rsidR="006C2468">
        <w:t xml:space="preserve">. Esse vínculo sintetiza a tendência estrutural de produção de uma política pública que favorece a cogestão técnica de uma agricultura voltada à padronização e à exportação e, mais recentemente, a formas de empresarialização e financeirização </w:t>
      </w:r>
      <w:r w:rsidR="007500C7">
        <w:t/>
      </w:r>
      <w:r w:rsidR="00266148">
        <w:t/>
      </w:r>
      <w:r w:rsidR="00465EC8">
        <w:t/>
      </w:r>
      <w:r w:rsidR="006445A0">
        <w:t/>
      </w:r>
      <w:r w:rsidR="000A1BA9">
        <w:t/>
      </w:r>
      <w:r w:rsidR="0065306A">
        <w:t/>
      </w:r>
      <w:r w:rsidR="00726480">
        <w:t/>
      </w:r>
      <w:r w:rsidR="00DE6363">
        <w:t/>
      </w:r>
      <w:proofErr w:type="spellStart"/>
      <w:r w:rsidR="00DE6363">
        <w:t/>
      </w:r>
      <w:proofErr w:type="spellEnd"/>
      <w:r w:rsidR="00DE6363">
        <w:t/>
      </w:r>
      <w:r w:rsidR="00E40D98">
        <w:t/>
      </w:r>
      <w:r w:rsidR="00663CC2">
        <w:fldChar w:fldCharType="begin"/>
      </w:r>
      <w:r w:rsidR="006B54E8">
        <w:instrText xml:space="preserve"> ADDIN ZOTERO_ITEM CSL_CITATION {"citationID":"29dcVNUH","properties":{"formattedCitation":"(Purseigle, Nguyen, &amp; Blanc, 2017)","plainCitation":"(Purseigle, Nguyen, &amp; Blanc, 2017)","noteIndex":0},"citationItems":[{"id":14237,"uris":["http://zotero.org/users/10222123/items/LZVWRRSU"],"itemData":{"id":14237,"type":"book","abstract":"En rupture avec l'exploitation familiale traditionnelle, des firmes agricoles se profilent dans de nombreuses régions du globe. Avec elles, s'amorce une recomposition agraire dont les contours restent largement invisibles. À l'exception de quelques cas médiatisés de « mégafermes » et autres « fermes des 1 000 vaches », la majorité de ces firmes ont jusqu'à présent échappé à l'analyse tant leurs visages sont multiples et flous. Leurs performances économiques et financières tout comme leurs incidences environnementales et sociales interrogent aussi bien les milieux politiques, professionnels que scientifiques. Comment sont-elles organisées ? Quels sont leurs logiques et modes d'action ? Dans quels espaces s'inscrivent-elles ? Comment une ferme familiale devient-elle une firme agricole ? Quels types d'acteurs sont impliqués ? Quels rapports au politique entretiennent-elles ? Quels conflits provoquent-elles ? Le premier ouvrage sur un phénomène mondial en pleine émergence. François Purseigle est professeur en sociologie à l'Institut national polytechnique de Toulouse. Il dirige le département de sciences économiques, sociales et de gestion de l'École nationale supérieure agronomique de Toulouse. Geneviève Nguyen est maître de conférences en économie à l'Institut national polytechnique-École nationale supérieure agronomique de Toulouse. Pierre Blanc est enseignant chercheur en géopolitique à Bordeaux Sciences Agro et à Sciences Po Bordeaux","call-number":"338.109 051","citation-key":"purseigleNouveauCapitalismeAgricole2017","ISBN":"978-2-7246-2135-8","language":"fre","publisher":"Sciences po, les presses","publisher-place":"Paris","source":"BnF ISBN","title":"Le nouveau capitalisme agricole: de la ferme à la firme","title-short":"Le nouveau capitalisme agricole","author":[{"family":"Purseigle","given":"François"},{"family":"Nguyen","given":"Geneviève"},{"family":"Blanc","given":"Pierre"}],"issued":{"date-parts":[["2017"]]}}}],"schema":"https://github.com/citation-style-language/schema/raw/master/csl-citation.json"} </w:instrText>
      </w:r>
      <w:r w:rsidR="00663CC2">
        <w:fldChar w:fldCharType="separate"/>
      </w:r>
      <w:r w:rsidR="00DF6BD6" w:rsidRPr="00DF6BD6">
        <w:rPr>
          <w:rFonts w:cs="Times New Roman"/>
        </w:rPr>
        <w:t>(Purseigle, Nguyen, &amp; Blanc, 2017)</w:t>
      </w:r>
      <w:r w:rsidR="00663CC2">
        <w:fldChar w:fldCharType="end"/>
      </w:r>
      <w:r w:rsidR="00726480">
        <w:t xml:space="preserve">. Foi a análise dessa tendência estrutural que levou a sociologia rural a anunciar o desaparecimento dos camponeses </w:t>
      </w:r>
      <w:r w:rsidR="0084651F">
        <w:t/>
      </w:r>
      <w:r w:rsidR="005D23DA">
        <w:t/>
      </w:r>
      <w:r w:rsidR="007A50E0">
        <w:t/>
      </w:r>
      <w:r w:rsidR="002F0801">
        <w:fldChar w:fldCharType="begin"/>
      </w:r>
      <w:r w:rsidR="00003052">
        <w:instrText xml:space="preserve"> ADDIN ZOTERO_ITEM CSL_CITATION {"citationID":"6ZxJHauE","properties":{"formattedCitation":"(Mendras, 1992)","plainCitation":"(Mendras, 1992)","noteIndex":0},"citationItems":[{"id":14233,"uris":["http://zotero.org/users/10222123/items/US9NTG89"],"itemData":{"id":14233,"type":"book","abstract":"L'ouvrage d'Henri Mendras - La Fin des paysans -parut audacieux lors de sa publication en 1967. La thèse de l'auteur était simple mais redoutable dans ses perspectives : la France avait vu disparaître une civilisation millénaire, constitutive d'elle-même, et depuis les années cinquante la paysannerie, en tant que mode de vie, avait complètement disparu, ne laissant dans la campagne française que des agriculteurs-producteurs obéissant aux règles du marché et de la technique. Ce diagnostic scientifique n'a rien perdu de son actualité. La Fin des paysans - augmenté d'une postface écrite en 1984 -est devenu un classique parce que le temps en a confirmé la justesse.  Cet ouvrage ouvre la série «essais» dans la collection de livres de poche Babel.","citation-key":"mendrasFinPaysansSuivi1992","ISBN":"978-2-86869-802-5","language":"Français","number-of-pages":"446","publisher":"Actes Sud","publisher-place":"Le Méjan, Arles : Bruxelles : [Lausanne]","source":"Amazon","title":"La fin des paysans ; suivi d'une réflexion sur la fin des paysans vingt ans après","author":[{"family":"Mendras","given":"Henri"}],"issued":{"date-parts":[["1992"]]}}}],"schema":"https://github.com/citation-style-language/schema/raw/master/csl-citation.json"} </w:instrText>
      </w:r>
      <w:r w:rsidR="002F0801">
        <w:fldChar w:fldCharType="separate"/>
      </w:r>
      <w:r w:rsidR="00DF6BD6" w:rsidRPr="00DF6BD6">
        <w:rPr>
          <w:rFonts w:cs="Times New Roman"/>
        </w:rPr>
        <w:t>(Mendras, 1992</w:t>
      </w:r>
      <w:r w:rsidR="001956F7">
        <w:rPr>
          <w:rFonts w:cs="Times New Roman"/>
        </w:rPr>
        <w:t xml:space="preserve"> [1967]</w:t>
      </w:r>
      <w:r w:rsidR="00DF6BD6" w:rsidRPr="00DF6BD6">
        <w:rPr>
          <w:rFonts w:cs="Times New Roman"/>
        </w:rPr>
        <w:t>)</w:t>
      </w:r>
      <w:r w:rsidR="002F0801">
        <w:fldChar w:fldCharType="end"/>
      </w:r>
      <w:r w:rsidR="002F0801">
        <w:t xml:space="preserve"> nos anos 1960 na França. Nos dois países, essa cogestão se traduz por um controle quase total dos ministérios da agricultura (MASA na França, MAPA no Brasil) pelas organizações patronais dominantes de uma agricultura integrada à agroindústria e aos mercados internacionais.</w:t>
      </w:r>
      <w:r w:rsidR="003432BA">
        <w:t/>
      </w:r>
      <w:r w:rsidR="00FB5414">
        <w:t/>
      </w:r>
      <w:r w:rsidR="00131583">
        <w:t/>
      </w:r>
      <w:r w:rsidR="00982B34">
        <w:t/>
      </w:r>
      <w:r w:rsidR="00621DDB">
        <w:t/>
      </w:r>
      <w:r w:rsidR="008A5CAF">
        <w:t/>
      </w:r>
      <w:r w:rsidR="00426D22">
        <w:t/>
      </w:r>
      <w:r w:rsidR="007124F9">
        <w:t/>
      </w:r>
      <w:r w:rsidR="006E68B3">
        <w:t/>
      </w:r>
      <w:r w:rsidR="0014793F">
        <w:t/>
      </w:r>
      <w:r w:rsidR="0045010B">
        <w:t/>
      </w:r>
      <w:r w:rsidR="0014793F">
        <w:t/>
      </w:r>
    </w:p>
    <w:p w14:paraId="05444FF6" w14:textId="15C8BE41" w:rsidR="00923E20" w:rsidRPr="00F11770" w:rsidRDefault="00262937" w:rsidP="00525058">
      <w:pPr>
        <w:jc w:val="both"/>
      </w:pPr>
      <w:r w:rsidRPr="00580CE4">
        <w:t xml:space="preserve">No entanto, deter-se nessas tendências estruturais oculta formas de resistência, produção e solidariedade decisivas no sistema alimentar, sem as quais revoltas da fome eclodiriam permanentemente. Esse duplo movimento polanyiano aparece quando a mercantilização da alimentação e da agricultura suscita formas protetoras de reenraizamento, como a constituição de estoques, a assistência alimentar, mas também o retorno da questão camponesa e, nos termos de </w:t>
      </w:r>
      <w:r w:rsidR="00C870B7" w:rsidRPr="00580CE4">
        <w:t/>
      </w:r>
      <w:r w:rsidR="005C50CA">
        <w:t/>
      </w:r>
      <w:r w:rsidR="00BE44CF" w:rsidRPr="00580CE4">
        <w:t/>
      </w:r>
      <w:r w:rsidR="002000EC" w:rsidRPr="00580CE4">
        <w:t/>
      </w:r>
      <w:r w:rsidR="00990AD9">
        <w:t/>
      </w:r>
      <w:r w:rsidR="00BE44CF" w:rsidRPr="00580CE4">
        <w:t/>
      </w:r>
      <w:r w:rsidR="002000EC" w:rsidRPr="00580CE4">
        <w:t/>
      </w:r>
      <w:r w:rsidR="003F1730" w:rsidRPr="00580CE4">
        <w:t/>
      </w:r>
      <w:r w:rsidR="00FA1C1E" w:rsidRPr="00580CE4">
        <w:t/>
      </w:r>
      <w:r w:rsidR="00906482" w:rsidRPr="00580CE4">
        <w:t/>
      </w:r>
      <w:r w:rsidR="00ED4359" w:rsidRPr="00580CE4">
        <w:t/>
      </w:r>
      <w:r w:rsidR="002105D7" w:rsidRPr="00580CE4">
        <w:t/>
      </w:r>
      <w:r w:rsidR="00383463" w:rsidRPr="00580CE4">
        <w:t/>
      </w:r>
      <w:r w:rsidR="006450A2" w:rsidRPr="00580CE4">
        <w:t/>
      </w:r>
      <w:r w:rsidR="00383463" w:rsidRPr="00580CE4">
        <w:t/>
      </w:r>
      <w:r w:rsidR="00ED4359" w:rsidRPr="00580CE4">
        <w:t/>
      </w:r>
      <w:r w:rsidR="00926523">
        <w:t/>
      </w:r>
      <w:r w:rsidR="00AC475E" w:rsidRPr="00580CE4">
        <w:t/>
      </w:r>
      <w:proofErr w:type="spellStart"/>
      <w:r w:rsidR="000A5AA0" w:rsidRPr="00580CE4">
        <w:t/>
      </w:r>
      <w:proofErr w:type="spellEnd"/>
      <w:r w:rsidR="000A5AA0" w:rsidRPr="00580CE4">
        <w:t/>
      </w:r>
      <w:r w:rsidR="00AC475E" w:rsidRPr="00580CE4">
        <w:t/>
      </w:r>
      <w:r w:rsidR="0094047C" w:rsidRPr="00580CE4">
        <w:t/>
      </w:r>
      <w:r w:rsidR="00AC475E" w:rsidRPr="00580CE4">
        <w:t/>
      </w:r>
      <w:proofErr w:type="spellStart"/>
      <w:r w:rsidR="00AC475E" w:rsidRPr="00580CE4">
        <w:t/>
      </w:r>
      <w:proofErr w:type="spellEnd"/>
      <w:r w:rsidR="00AC475E" w:rsidRPr="00580CE4">
        <w:t/>
      </w:r>
      <w:r w:rsidR="00C607E2" w:rsidRPr="00580CE4">
        <w:t/>
      </w:r>
      <w:r w:rsidR="00DA507F" w:rsidRPr="00580CE4">
        <w:t/>
      </w:r>
      <w:r w:rsidR="00AC475E" w:rsidRPr="00580CE4">
        <w:t/>
      </w:r>
      <w:r w:rsidR="002D7E62" w:rsidRPr="00580CE4">
        <w:t/>
      </w:r>
      <w:r w:rsidR="002D7E62" w:rsidRPr="00580CE4">
        <w:fldChar w:fldCharType="begin"/>
      </w:r>
      <w:r w:rsidR="008C5BCC">
        <w:instrText xml:space="preserve"> ADDIN ZOTERO_ITEM CSL_CITATION {"citationID":"1TTl0hpg","properties":{"formattedCitation":"(J. D. van der\\uc0\\u160{}Ploeg, 2008; Jan Douwe van der\\uc0\\u160{}Ploeg, 2018)","plainCitation":"(J. D. van der Ploeg, 2008; Jan Douwe van der Ploeg, 2018)","dontUpdate":true,"noteIndex":0},"citationItems":[{"id":14242,"uris":["http://zotero.org/users/10222123/items/UGPZ7YBM"],"itemData":{"id":14242,"type":"book","citation-key":"ploegNewPeasantriesStruggles2008","ISBN":"978-1-84407-558-4","language":"English","publisher":"Earthscan","source":"research.wur.nl","title":"The New Peasantries, struggles for autonomy and sustainability in an era of empire and globalization","URL":"https://research.wur.nl/en/publications/the-new-peasantries-struggles-for-autonomy-and-sustainability-in-/","author":[{"family":"Ploeg","given":"J. D.","non-dropping-particle":"van der"}],"accessed":{"date-parts":[["2026",3,18]]},"issued":{"date-parts":[["2008"]]}}},{"id":14240,"uris":["http://zotero.org/users/10222123/items/MEXYMN9P"],"itemData":{"id":14240,"type":"article-journal","citation-key":"ploegDetoRepeasantizationModernization2018","container-title":"Journal of Rural Studies","DOI":"10.1016/j.jrurstud.2017.12.016","ISSN":"0743-0167","language":"English","page":"236-243","publisher":"Elsevier","source":"research.wur.nl","title":"From de-to repeasantization: The modernization of agriculture revisited","title-short":"From de-to repeasantization","volume":"61","author":[{"family":"Ploeg","given":"Jan Douwe","non-dropping-particle":"van der"}],"issued":{"date-parts":[["2018",7]]}}}],"schema":"https://github.com/citation-style-language/schema/raw/master/csl-citation.json"} </w:instrText>
      </w:r>
      <w:r w:rsidR="002D7E62" w:rsidRPr="00580CE4">
        <w:fldChar w:fldCharType="separate"/>
      </w:r>
      <w:r w:rsidR="00DF6BD6" w:rsidRPr="00DF6BD6">
        <w:rPr>
          <w:rFonts w:cs="Times New Roman"/>
          <w:kern w:val="0"/>
        </w:rPr>
        <w:t>J</w:t>
      </w:r>
      <w:r w:rsidR="00361F84">
        <w:rPr>
          <w:rFonts w:cs="Times New Roman"/>
          <w:kern w:val="0"/>
        </w:rPr>
        <w:t>an</w:t>
      </w:r>
      <w:r w:rsidR="00DF6BD6" w:rsidRPr="00DF6BD6">
        <w:rPr>
          <w:rFonts w:cs="Times New Roman"/>
          <w:kern w:val="0"/>
        </w:rPr>
        <w:t xml:space="preserve"> D</w:t>
      </w:r>
      <w:r w:rsidR="00361F84">
        <w:rPr>
          <w:rFonts w:cs="Times New Roman"/>
          <w:kern w:val="0"/>
        </w:rPr>
        <w:t>ouwe</w:t>
      </w:r>
      <w:r w:rsidR="00DF6BD6" w:rsidRPr="00DF6BD6">
        <w:rPr>
          <w:rFonts w:cs="Times New Roman"/>
          <w:kern w:val="0"/>
        </w:rPr>
        <w:t xml:space="preserve"> van der Ploeg</w:t>
      </w:r>
      <w:r w:rsidR="00361F84">
        <w:rPr>
          <w:rFonts w:cs="Times New Roman"/>
          <w:kern w:val="0"/>
        </w:rPr>
        <w:t xml:space="preserve"> (</w:t>
      </w:r>
      <w:r w:rsidR="00DF6BD6" w:rsidRPr="00DF6BD6">
        <w:rPr>
          <w:rFonts w:cs="Times New Roman"/>
          <w:kern w:val="0"/>
        </w:rPr>
        <w:t>2008</w:t>
      </w:r>
      <w:r w:rsidR="00361F84">
        <w:rPr>
          <w:rFonts w:cs="Times New Roman"/>
          <w:kern w:val="0"/>
        </w:rPr>
        <w:t xml:space="preserve"> &amp; 2018)</w:t>
      </w:r>
      <w:r w:rsidR="002D7E62" w:rsidRPr="00580CE4">
        <w:fldChar w:fldCharType="end"/>
      </w:r>
      <w:r w:rsidR="00AC475E" w:rsidRPr="00580CE4">
        <w:t xml:space="preserve">, processos de </w:t>
      </w:r>
      <w:proofErr w:type="spellStart"/>
      <w:r w:rsidR="00AC36E6">
        <w:rPr>
          <w:i/>
          <w:iCs/>
        </w:rPr>
        <w:t>recampesinização.</w:t>
      </w:r>
      <w:proofErr w:type="spellEnd"/>
      <w:r w:rsidR="00540E46" w:rsidRPr="00580CE4">
        <w:rPr>
          <w:i/>
          <w:iCs/>
        </w:rPr>
        <w:t/>
      </w:r>
      <w:r w:rsidR="00540E46" w:rsidRPr="00580CE4">
        <w:t xml:space="preserve"> Estes se baseiam na busca de autonomia em relação aos mercados de insumos, ao crédito, às empresas e aos circuitos longos. Na França, esse contramovimento se expressa, desde os anos 1970, nas lutas camponesas, como a do Larzac, e por uma via alternativa à dupla FNSEA-CNJA: a dos “paysans travailleurs”, territorialmente enraizados e prestadores de serviços ambientais </w:t>
      </w:r>
      <w:r w:rsidR="00775074" w:rsidRPr="00580CE4">
        <w:t/>
      </w:r>
      <w:r w:rsidR="00540E46" w:rsidRPr="00580CE4">
        <w:t/>
      </w:r>
      <w:r w:rsidR="00D402FC" w:rsidRPr="00580CE4">
        <w:t/>
      </w:r>
      <w:r w:rsidR="00AC475E" w:rsidRPr="00580CE4">
        <w:t/>
      </w:r>
      <w:r w:rsidR="00B4313A">
        <w:t/>
      </w:r>
      <w:r w:rsidR="005869CE">
        <w:t/>
      </w:r>
      <w:r w:rsidR="00AD3022">
        <w:t/>
      </w:r>
      <w:r w:rsidR="00926523">
        <w:t/>
      </w:r>
      <w:r w:rsidR="00AD3022">
        <w:t/>
      </w:r>
      <w:r w:rsidR="007F4014">
        <w:t/>
      </w:r>
      <w:r w:rsidR="00735751">
        <w:fldChar w:fldCharType="begin"/>
      </w:r>
      <w:r w:rsidR="00DE2FEC">
        <w:instrText xml:space="preserve"> ADDIN ZOTERO_ITEM CSL_CITATION {"citationID":"8ZRzN9UJ","properties":{"formattedCitation":"(Lambert, 1970)","plainCitation":"(Lambert, 1970)","noteIndex":0},"citationItems":[{"id":14301,"uris":["http://zotero.org/users/10222123/items/9VGCKYP2"],"itemData":{"id":14301,"type":"book","abstract":"in-12, broché, 186 pp. Légères rousseurs à la couverture, sans gravité. Sinon en très bon état.","citation-key":"bernardPaysansDansLutte","language":"Français","publisher":"Seuil, coll. \"Politique\"","source":"Amazon","title":"Les paysans dans la lutte des classes","author":[{"family":"Lambert","given":"Bernard"}],"contributor":[{"family":"Rocard","given":"Michel"}],"issued":{"date-parts":[["1970"]]}}}],"schema":"https://github.com/citation-style-language/schema/raw/master/csl-citation.json"} </w:instrText>
      </w:r>
      <w:r w:rsidR="00735751">
        <w:fldChar w:fldCharType="separate"/>
      </w:r>
      <w:r w:rsidR="00DE2FEC" w:rsidRPr="00DE2FEC">
        <w:rPr>
          <w:rFonts w:cs="Times New Roman"/>
        </w:rPr>
        <w:t>(Lambert, 1970)</w:t>
      </w:r>
      <w:r w:rsidR="00735751">
        <w:fldChar w:fldCharType="end"/>
      </w:r>
      <w:r w:rsidR="00DE2FEC">
        <w:t xml:space="preserve">. Esses movimentos sociais contribuiriam para legitimar práticas como a agricultura orgânica, que apareceria nas leis de orientação agrícola já nos anos 1980. No mesmo referencial, a busca de autonomia favoreceria a estruturação das AMAP, dos circuitos curtos ou de sistemas agroalimentares alternativos. Mais recentemente, os Projets Alimentaires Territoriaux (PAT) passaram a institucionalizar um referencial que reúne agricultura e alimentação em um mesmo espaço territorial, o qual permaneceu minoritário apesar de uma “virada territorial” no discurso durante os anos 1990 </w:t>
      </w:r>
      <w:r w:rsidR="00512EB5">
        <w:t/>
      </w:r>
      <w:r w:rsidR="00967E2E">
        <w:t/>
      </w:r>
      <w:r w:rsidR="00B20385">
        <w:t/>
      </w:r>
      <w:r w:rsidR="00281E8B">
        <w:t/>
      </w:r>
      <w:r w:rsidR="00B20385">
        <w:t/>
      </w:r>
      <w:r w:rsidR="00F9127C">
        <w:t/>
      </w:r>
      <w:r w:rsidR="0041364C">
        <w:t/>
      </w:r>
      <w:r w:rsidR="00F27DD3">
        <w:t/>
      </w:r>
      <w:r w:rsidR="00B641B5">
        <w:t/>
      </w:r>
      <w:r w:rsidR="00B616E9">
        <w:t/>
      </w:r>
      <w:r w:rsidR="00AC475E" w:rsidRPr="00580CE4">
        <w:t/>
      </w:r>
      <w:r w:rsidR="004A0889">
        <w:t/>
      </w:r>
      <w:r w:rsidR="00AC475E" w:rsidRPr="00580CE4">
        <w:t/>
      </w:r>
      <w:r w:rsidR="007F2443">
        <w:t/>
      </w:r>
      <w:r w:rsidR="00594B79">
        <w:t/>
      </w:r>
      <w:r w:rsidR="00B33DD9">
        <w:t/>
      </w:r>
      <w:r w:rsidR="00594B79">
        <w:t/>
      </w:r>
      <w:r w:rsidR="00AC475E" w:rsidRPr="00580CE4">
        <w:t/>
      </w:r>
      <w:r w:rsidR="00D12CBC" w:rsidRPr="00580CE4">
        <w:t/>
      </w:r>
      <w:r w:rsidR="00AC475E" w:rsidRPr="00580CE4">
        <w:t/>
      </w:r>
      <w:r w:rsidR="007F2443">
        <w:t/>
      </w:r>
      <w:r w:rsidR="004C4DED">
        <w:t/>
      </w:r>
      <w:r w:rsidR="00FC45BF">
        <w:t/>
      </w:r>
      <w:r w:rsidR="00AB4C73">
        <w:t/>
      </w:r>
      <w:r w:rsidR="00012C3E">
        <w:t/>
      </w:r>
      <w:r w:rsidR="003A746C">
        <w:t/>
      </w:r>
      <w:r w:rsidR="0021059D">
        <w:t/>
      </w:r>
      <w:r w:rsidR="0083398A">
        <w:t/>
      </w:r>
      <w:r w:rsidR="006663F3">
        <w:t/>
      </w:r>
      <w:r w:rsidR="00E02B57">
        <w:t/>
      </w:r>
      <w:r w:rsidR="006A567B">
        <w:t/>
      </w:r>
      <w:r w:rsidR="001269BF">
        <w:t/>
      </w:r>
      <w:r w:rsidR="00C97F85">
        <w:t/>
      </w:r>
      <w:r w:rsidR="00622841">
        <w:fldChar w:fldCharType="begin"/>
      </w:r>
      <w:r w:rsidR="00735751">
        <w:instrText xml:space="preserve"> ADDIN ZOTERO_ITEM CSL_CITATION {"citationID":"k2LnZYu7","properties":{"formattedCitation":"(Darrot, Mar\\uc0\\u233{}chal, &amp; Br\\uc0\\u233{}ger, 2019)","plainCitation":"(Darrot, Maréchal, &amp; Bréger, 2019)","noteIndex":0},"citationItems":[{"id":14300,"uris":["http://zotero.org/users/10222123/items/5GYXKL8Z"],"itemData":{"id":14300,"type":"report","citation-key":"darrotRapportProjetsAlimentaires2019","language":"fr","publisher":"Institut Hanseo-Agrico","publisher-place":"Agrocampus Ouest : Rennes","source":"Zotero","title":"Rapport sur les Projets Alimentaires Territoriaux (P.A.T.) en France: Etat des lieux et analyse","author":[{"family":"Darrot","given":"Catherine"},{"family":"Maréchal","given":"Gilles"},{"family":"Bréger","given":"Thomas"}],"issued":{"date-parts":[["2019"]]}}}],"schema":"https://github.com/citation-style-language/schema/raw/master/csl-citation.json"} </w:instrText>
      </w:r>
      <w:r w:rsidR="00622841">
        <w:fldChar w:fldCharType="separate"/>
      </w:r>
      <w:r w:rsidR="00622841" w:rsidRPr="00622841">
        <w:rPr>
          <w:rFonts w:cs="Times New Roman"/>
          <w:kern w:val="0"/>
        </w:rPr>
        <w:t>(Darrot, Maréchal, &amp; Bréger, 2019)</w:t>
      </w:r>
      <w:r w:rsidR="00622841">
        <w:fldChar w:fldCharType="end"/>
      </w:r>
      <w:r w:rsidR="003A746C">
        <w:t xml:space="preserve">. No Brasil, a mesma lógica assume uma forma mais fortemente estatizada. A partir dos anos 1990-2000, o reconhecimento da agricultura familiar e, depois, a ascensão das políticas de segurança alimentar e nutricional articulam a reprodução camponesa a dispositivos públicos de compra, crédito e garantia de acesso aos alimentos </w:t>
      </w:r>
      <w:r w:rsidR="00AC475E" w:rsidRPr="00580CE4">
        <w:t/>
      </w:r>
      <w:r w:rsidR="00E3006F" w:rsidRPr="00580CE4">
        <w:t/>
      </w:r>
      <w:r w:rsidR="00AC475E" w:rsidRPr="00580CE4">
        <w:t/>
      </w:r>
      <w:r w:rsidR="005A3939" w:rsidRPr="00580CE4">
        <w:t/>
      </w:r>
      <w:r w:rsidR="00AC475E" w:rsidRPr="00580CE4">
        <w:t/>
      </w:r>
      <w:r w:rsidR="00E2479A">
        <w:t/>
      </w:r>
      <w:r w:rsidR="007B1887">
        <w:fldChar w:fldCharType="begin"/>
      </w:r>
      <w:r w:rsidR="00FF6333">
        <w:instrText xml:space="preserve"> ADDIN ZOTERO_ITEM CSL_CITATION {"citationID":"VlbS9dKd","properties":{"formattedCitation":"(Sencebe &amp; Pinton, 2020)","plainCitation":"(Sencebe &amp; Pinton, 2020)","noteIndex":0},"citationItems":[{"id":5258,"uris":["http://zotero.org/users/10222123/items/DRT9AAKU"],"itemData":{"id":5258,"type":"chapter","citation-key":"sencebe4GouvernerSecurite2020","collection-title":"Res publica","container-title":"Quand l’alimentation se fait politique(s)","DOI":"10.4000/books.pur.146050","ISBN":"978-2-7535-8562-1","language":"fr","license":"https://www.openedition.org/12554","page":"103-121","publisher":"Presses universitaires de Rennes","publisher-place":"Rennes","source":"OpenEdition Books","title":"4. Gouverner la sécurité alimentaire au Brésil, une approche sociale et participative des politiques alimentaires","URL":"https://books.openedition.org/pur/146050","author":[{"family":"Sencebe","given":"Yannick"},{"family":"Pinton","given":"Florence"}],"editor":[{"family":"Fouilleux","given":"Ève"},{"family":"Michel","given":"Laura"}],"accessed":{"date-parts":[["2024",11,8]]},"issued":{"date-parts":[["2020"]]}}}],"schema":"https://github.com/citation-style-language/schema/raw/master/csl-citation.json"} </w:instrText>
      </w:r>
      <w:r w:rsidR="007B1887">
        <w:fldChar w:fldCharType="separate"/>
      </w:r>
      <w:r w:rsidR="007B1887" w:rsidRPr="007B1887">
        <w:rPr>
          <w:rFonts w:cs="Times New Roman"/>
        </w:rPr>
        <w:t>(Sencebe &amp; Pinton, 2020)</w:t>
      </w:r>
      <w:r w:rsidR="007B1887">
        <w:fldChar w:fldCharType="end"/>
      </w:r>
      <w:r w:rsidR="00AC475E" w:rsidRPr="00580CE4">
        <w:t>. Em termos abstratos, essas duas contratrajetórias correspondem a uma mesma relação de proteção alimentar. A alimentação deixa de ser apenas uma mercadoria obtida por meio da renda e volta a ser, parcialmente, uma relação socialmente garantida, seja por mediações domésticas e associativas, seja por mediações públicas (relação PSA-R).</w:t>
      </w:r>
      <w:r w:rsidR="007B1887">
        <w:t/>
      </w:r>
      <w:r w:rsidR="00AC475E" w:rsidRPr="00580CE4">
        <w:t/>
      </w:r>
      <w:r w:rsidR="00B45CF8">
        <w:t/>
      </w:r>
      <w:r w:rsidR="00AC475E" w:rsidRPr="00580CE4">
        <w:t/>
      </w:r>
      <w:r w:rsidR="00880871" w:rsidRPr="00580CE4">
        <w:t/>
      </w:r>
      <w:r w:rsidR="00AC475E" w:rsidRPr="00580CE4">
        <w:t/>
      </w:r>
      <w:r w:rsidR="00611EC9" w:rsidRPr="00580CE4">
        <w:t/>
      </w:r>
      <w:r w:rsidR="00AC475E" w:rsidRPr="00580CE4">
        <w:t/>
      </w:r>
      <w:r w:rsidR="00191351">
        <w:t/>
      </w:r>
      <w:r w:rsidR="00AC475E" w:rsidRPr="00580CE4">
        <w:t/>
      </w:r>
    </w:p>
    <w:p w14:paraId="2104DF2C" w14:textId="6CF2B635" w:rsidR="00E55AA0" w:rsidRPr="00E55AA0" w:rsidRDefault="00E55AA0" w:rsidP="008B0BA5">
      <w:pPr>
        <w:pStyle w:val="Titre2"/>
        <w:numPr>
          <w:ilvl w:val="0"/>
          <w:numId w:val="9"/>
        </w:numPr>
      </w:pPr>
      <w:r>
        <w:lastRenderedPageBreak/>
        <w:t>França-Brasil: dois tipos ideais que traduzem duas trajetórias histórico-institucionais muito distintas</w:t>
      </w:r>
      <w:r w:rsidR="00094C91">
        <w:t/>
      </w:r>
      <w:r w:rsidR="001A0222">
        <w:t/>
      </w:r>
    </w:p>
    <w:p w14:paraId="45EB2AA3" w14:textId="0C747DFF" w:rsidR="00BE00C3" w:rsidRDefault="00C35AA5" w:rsidP="00A351CA">
      <w:pPr>
        <w:jc w:val="both"/>
      </w:pPr>
      <w:r>
        <w:t xml:space="preserve">A aplicação do referencial agroalimentar produtivista resulta em um acesso mais generalizado à alimentação por meio das grandes e médias redes de distribuição e uma alimentação composta por uma proporção maior de produtos processados. Essas duas dinâmicas concentram o valor agregado do sistema alimentar nos elos intermediários da transformação, logística e distribuição de alimentos. Tanto em um país quanto no outro, emerge um contramovimento, com elementos discursivos comparáveis (questão camponesa, preocupações ambientais e sanitárias). No entanto, as formas concretas são bastante diferentes. Evidentemente, concentrar a comparação no registro alimentar e na escala nacional não deve apagar as inúmeras diferenças entre a França, país industrializado do centro capitalista, e o Brasil, formação semiperiférica exportadora de matérias-primas, especialmente agrícolas. Essas diferenças não decorrem apenas de propriedades internas às duas sociedades nacionais: remetem, antes de tudo, à sua inserção historicamente diferenciada no comércio internacional desde a colonização e o tráfico de pessoas escravizadas </w:t>
      </w:r>
      <w:r w:rsidR="00CF49DD">
        <w:t/>
      </w:r>
      <w:r>
        <w:t/>
      </w:r>
      <w:r w:rsidR="001B61C4">
        <w:t/>
      </w:r>
      <w:r w:rsidR="00431411">
        <w:t/>
      </w:r>
      <w:r w:rsidR="00DA6391">
        <w:t/>
      </w:r>
      <w:r w:rsidR="00E454ED">
        <w:t/>
      </w:r>
      <w:r w:rsidR="005D265F">
        <w:t/>
      </w:r>
      <w:r w:rsidR="007B6C23">
        <w:t/>
      </w:r>
      <w:r w:rsidR="00A750C1">
        <w:t/>
      </w:r>
      <w:r w:rsidR="00946E86">
        <w:t/>
      </w:r>
      <w:r w:rsidR="00017CF2">
        <w:t/>
      </w:r>
      <w:r w:rsidR="005E0641">
        <w:t/>
      </w:r>
      <w:r w:rsidR="00017CF2">
        <w:t/>
      </w:r>
      <w:r w:rsidR="00891266">
        <w:t/>
      </w:r>
      <w:r w:rsidR="00492D18">
        <w:t/>
      </w:r>
      <w:r w:rsidR="00716C7A">
        <w:t/>
      </w:r>
      <w:r w:rsidR="00447401">
        <w:t/>
      </w:r>
      <w:r w:rsidR="00F27A8D">
        <w:t/>
      </w:r>
      <w:r w:rsidR="00FB50B8">
        <w:t/>
      </w:r>
      <w:r w:rsidR="00F27A8D">
        <w:t/>
      </w:r>
      <w:r w:rsidR="00677D3C">
        <w:t/>
      </w:r>
      <w:r w:rsidR="007B7DE2">
        <w:t/>
      </w:r>
      <w:r w:rsidR="00806A65" w:rsidRPr="00806A65">
        <w:t/>
      </w:r>
      <w:r w:rsidR="00744947">
        <w:t/>
      </w:r>
      <w:r w:rsidR="00806A65" w:rsidRPr="00806A65">
        <w:t/>
      </w:r>
      <w:r w:rsidR="00C57081">
        <w:t/>
      </w:r>
      <w:r w:rsidR="00806A65" w:rsidRPr="00806A65">
        <w:t/>
      </w:r>
      <w:r w:rsidR="00806A65" w:rsidRPr="00C57081">
        <w:t/>
      </w:r>
      <w:r w:rsidR="00806A65" w:rsidRPr="00806A65">
        <w:t/>
      </w:r>
      <w:r w:rsidR="00BF2E35">
        <w:t/>
      </w:r>
      <w:r w:rsidR="00806A65" w:rsidRPr="00806A65">
        <w:t/>
      </w:r>
      <w:r w:rsidR="007A6994">
        <w:t/>
      </w:r>
      <w:r w:rsidR="00283EEC">
        <w:t/>
      </w:r>
      <w:r w:rsidR="00825C00">
        <w:t/>
      </w:r>
      <w:r w:rsidR="00A7060A">
        <w:t/>
      </w:r>
      <w:r w:rsidR="001D79EC">
        <w:fldChar w:fldCharType="begin"/>
      </w:r>
      <w:r w:rsidR="001D79EC">
        <w:instrText xml:space="preserve"> ADDIN ZOTERO_ITEM CSL_CITATION {"citationID":"iME7PleB","properties":{"unsorted":false,"formattedCitation":"(Furtado, 1959)","plainCitation":"(Furtado, 1959)","noteIndex":0},"citationItems":[{"id":13274,"uris":["http://zotero.org/users/10222123/items/5RVV3W87"],"itemData":{"id":13274,"type":"article-journal","citation-key":"furtadoFormacaoEconomicaBrasil1959","language":"pt","source":"Zotero","title":"Formação Econômica do Brasil","author":[{"family":"Furtado","given":"Celso"}],"issued":{"date-parts":[["1959"]]}}}],"schema":"https://github.com/citation-style-language/schema/raw/master/csl-citation.json"} </w:instrText>
      </w:r>
      <w:r w:rsidR="001D79EC">
        <w:fldChar w:fldCharType="separate"/>
      </w:r>
      <w:r w:rsidR="001D79EC" w:rsidRPr="001D79EC">
        <w:rPr>
          <w:rFonts w:cs="Times New Roman"/>
        </w:rPr>
        <w:t>(Furtado, 1959)</w:t>
      </w:r>
      <w:r w:rsidR="001D79EC">
        <w:fldChar w:fldCharType="end"/>
      </w:r>
      <w:r w:rsidR="00806A65" w:rsidRPr="00806A65">
        <w:t xml:space="preserve">. Se a escala nacional permite compreender a estrutura das mediações alimentares das tensões reprodutivas no cerne dos compromissos federais e da formação dos Estados, é preciso ter em mente que seus sistemas alimentares não são fechados, mas ocupam duas posições distintas em uma divisão internacional da produção agrícola estruturada por uma dialética centro-semiperiferia-periferia </w:t>
      </w:r>
      <w:r w:rsidR="006A276D">
        <w:t/>
      </w:r>
      <w:r w:rsidR="006A276D" w:rsidRPr="00501FF3">
        <w:t/>
      </w:r>
      <w:r w:rsidR="00F040C2" w:rsidRPr="00501FF3">
        <w:t/>
      </w:r>
      <w:r w:rsidR="001B4A91" w:rsidRPr="00501FF3">
        <w:t/>
      </w:r>
      <w:r w:rsidR="002D47B5" w:rsidRPr="00501FF3">
        <w:t/>
      </w:r>
      <w:r w:rsidR="00676CA1" w:rsidRPr="00501FF3">
        <w:t/>
      </w:r>
      <w:r w:rsidR="008A73A9" w:rsidRPr="00501FF3">
        <w:t/>
      </w:r>
      <w:r w:rsidR="00AA2834" w:rsidRPr="00501FF3">
        <w:t/>
      </w:r>
      <w:r w:rsidR="00567F60" w:rsidRPr="00501FF3">
        <w:t/>
      </w:r>
      <w:r w:rsidR="00D12762" w:rsidRPr="00501FF3">
        <w:t/>
      </w:r>
      <w:r w:rsidR="00CD1918" w:rsidRPr="00501FF3">
        <w:t/>
      </w:r>
      <w:r w:rsidR="00D12762" w:rsidRPr="00501FF3">
        <w:t/>
      </w:r>
      <w:r w:rsidR="00C12E04" w:rsidRPr="00501FF3">
        <w:t/>
      </w:r>
      <w:r w:rsidR="00C12E04">
        <w:t/>
      </w:r>
      <w:r w:rsidR="00D12762">
        <w:t/>
      </w:r>
      <w:r w:rsidR="00532BE6">
        <w:t/>
      </w:r>
      <w:r w:rsidR="00806A65" w:rsidRPr="00806A65">
        <w:t/>
      </w:r>
      <w:r w:rsidR="00AE0778">
        <w:t/>
      </w:r>
      <w:r w:rsidR="00806A65" w:rsidRPr="00806A65">
        <w:t/>
      </w:r>
      <w:r w:rsidR="00E35BD7">
        <w:t/>
      </w:r>
      <w:r w:rsidR="00DF06AB">
        <w:t/>
      </w:r>
      <w:r w:rsidR="00C57081">
        <w:t/>
      </w:r>
      <w:r w:rsidR="00DF06AB">
        <w:t/>
      </w:r>
      <w:r w:rsidR="005E11C5">
        <w:t/>
      </w:r>
      <w:r w:rsidR="00D979BD">
        <w:fldChar w:fldCharType="begin"/>
      </w:r>
      <w:r w:rsidR="00EF3E16">
        <w:instrText xml:space="preserve"> ADDIN ZOTERO_ITEM CSL_CITATION {"citationID":"0C7voLq9","properties":{"unsorted":false,"formattedCitation":"(Tausch &amp; Althouse, 2025; Wallerstein, 1974)","plainCitation":"(Tausch &amp; Althouse, 2025; Wallerstein, 1974)","noteIndex":0},"citationItems":[{"id":11679,"uris":["http://zotero.org/users/10222123/items/YVXSX3SY"],"itemData":{"id":11679,"type":"article-journal","abstract":"The theory of ecologically unequal exchange (EUE) suggests that economic relations involve an asymmetric transfer of biophysical resources from the periphery to the core. Despite growing empirical evidence for EUE at the global level, studies have not yet sufficiently analysed the role of semi-peripheries, or the connection between global and domestic processes in reproducing environmental inequalities. To address this gap, we rely on an environmentally extended multi-regional input-output (EEMRIO) model to analyse China's involvement in global (G-EUE) and domestic (D-EUE) EUE from 1987 to 2017. Globally, we show that China's semi-peripheral role is two-fold: China increasingly appropriates natural resources from semi-peripheral and peripheral countries while acting as a net provider of biophysical resources to the core. Domestically, the wealthy East Coast zone is the only net importer of embodied energy and TiVA, while all other regions are net exporters. While China continues to be exploited by the core, it has fuelled its ascent by developing increasingly extractive relationships with peripheral regions both within and outside its borders. Our results suggest the need to move beyond a simple core-periphery dichotomy and to study EUE as a multi-tiered hierarchy of uneven biophysical flows.","citation-key":"tauschEcologicallyUnequalExchange2025","container-title":"Ecological Economics","DOI":"10.1016/j.ecolecon.2025.108644","ISSN":"0921-8009","journalAbbreviation":"Ecological Economics","page":"108644","source":"ScienceDirect","title":"Ecologically unequal exchange (EUE) as a multi-tiered hierarchy: Investigating the interdependence of global and domestic environmental inequalities to explain China's rise","title-short":"Ecologically unequal exchange (EUE) as a multi-tiered hierarchy","volume":"235","author":[{"family":"Tausch","given":"Luca"},{"family":"Althouse","given":"Jeffrey"}],"issued":{"date-parts":[["2025",9,1]]}}},{"id":12411,"uris":["http://zotero.org/users/10222123/items/WAVW48UC"],"itemData":{"id":12411,"type":"book","abstract":"Immanuel Wallerstein's highly influential, multi-volume opus, The Modern World-System,  is one of this century's greatest works of social science. An innovative, panoramic reinterpretation of global history, it traces the emergence and development of the modern world from the sixteenth to the twentieth century.","citation-key":"wallersteinModernWorldSystemCapitalist1974","ISBN":"978-0-520-26757-2","language":"Anglais","number-of-pages":"442","publisher":"University of California Press","publisher-place":"Berkeley, CA","source":"Amazon","title":"The Modern World-System I: Capitalist Agriculture and the Origins of the European World-Economy in the Sixteenth Century","title-short":"The Modern World-System I","author":[{"family":"Wallerstein","given":"Immanuel"}],"issued":{"date-parts":[["1974"]]}}}],"schema":"https://github.com/citation-style-language/schema/raw/master/csl-citation.json"} </w:instrText>
      </w:r>
      <w:r w:rsidR="00D979BD">
        <w:fldChar w:fldCharType="separate"/>
      </w:r>
      <w:r w:rsidR="00EF3E16" w:rsidRPr="00EF3E16">
        <w:rPr>
          <w:rFonts w:cs="Times New Roman"/>
        </w:rPr>
        <w:t>(Tausch &amp; Althouse, 2025; Wallerstein, 1974)</w:t>
      </w:r>
      <w:r w:rsidR="00D979BD">
        <w:fldChar w:fldCharType="end"/>
      </w:r>
      <w:r w:rsidR="00EF3E16">
        <w:t xml:space="preserve">.  </w:t>
      </w:r>
      <w:r w:rsidR="00806A65" w:rsidRPr="00806A65">
        <w:t/>
      </w:r>
      <w:r w:rsidR="00CC1260">
        <w:t/>
      </w:r>
    </w:p>
    <w:p w14:paraId="293592FA" w14:textId="311E4D64" w:rsidR="00521500" w:rsidRDefault="00521500" w:rsidP="00A351CA">
      <w:pPr>
        <w:jc w:val="both"/>
      </w:pPr>
      <w:r w:rsidRPr="00521500">
        <w:t xml:space="preserve">Essa inserção assimétrica na economia-mundo se traduz em condições muito diferentes de construção da proteção social. A baixa universalização dos direitos sociais no Brasil não pode ser compreendida independentemente da heterogeneidade estrutural: a coexistência de setores modernos, produtivos e internacionalizados com amplos espaços de emprego informal ou de baixa produtividade restringe a base salarial, contributiva e fiscal de um sistema de proteção social fundado no emprego formal </w:t>
      </w:r>
      <w:r w:rsidR="00DD4367">
        <w:t/>
      </w:r>
      <w:r w:rsidRPr="00521500">
        <w:t/>
      </w:r>
      <w:r>
        <w:t/>
      </w:r>
      <w:r w:rsidR="0041184D">
        <w:fldChar w:fldCharType="begin"/>
      </w:r>
      <w:r w:rsidR="0041184D">
        <w:instrText xml:space="preserve"> ADDIN ZOTERO_ITEM CSL_CITATION {"citationID":"hDUfDsYz","properties":{"unsorted":false,"formattedCitation":"(CEPAL, 2012)","plainCitation":"(CEPAL, 2012)","noteIndex":0},"citationItems":[{"id":14639,"uris":["http://zotero.org/users/10222123/items/YSAA3ZVM"],"itemData":{"id":14639,"type":"report","citation-key":"Content","publisher":"CEPAL","title":"Eslabones de la desigualdad Heterogeneidad estructural, empleo y protección social","URL":"https://repositorio.cepal.org/server/api/core/bitstreams/36549f57-2cd3-4801-8521-6ebe25fab3d7/content","author":[{"family":"CEPAL","given":""}],"accessed":{"date-parts":[["2026",5,17]]},"issued":{"date-parts":[["2012"]]}}}],"schema":"https://github.com/citation-style-language/schema/raw/master/csl-citation.json"} </w:instrText>
      </w:r>
      <w:r w:rsidR="0041184D">
        <w:fldChar w:fldCharType="separate"/>
      </w:r>
      <w:r w:rsidR="0041184D" w:rsidRPr="0041184D">
        <w:rPr>
          <w:rFonts w:cs="Times New Roman"/>
        </w:rPr>
        <w:t>(CEPAL, 2012)</w:t>
      </w:r>
      <w:r w:rsidR="0041184D">
        <w:fldChar w:fldCharType="end"/>
      </w:r>
      <w:r w:rsidRPr="00521500">
        <w:t>. Enquanto a França herda um SNPS oriundo do compromisso fordista, apoiado em um amplo assalariamento e relativamente próximo da universalidade, o Brasil entra nos anos 1990 com um SNPS mais fragmentado, corporativista e limitado pela extensão da informalidade. Essa segmentação produtiva e social encontra expressão particularmente nítida no mundo agrário, marcado pela herança latifundiária, pela concentração fundiária e pelo peso macroeconômico da agroexportação. Essas diferenças não reduzem o interesse da comparação; ao contrário, permitem apreender as condições históricas diferenciadas nas quais se constroem os sistemas de solidariedade alimentar.</w:t>
      </w:r>
      <w:proofErr w:type="spellStart"/>
      <w:r w:rsidRPr="00521500">
        <w:t/>
      </w:r>
      <w:proofErr w:type="spellEnd"/>
      <w:r w:rsidRPr="00521500">
        <w:t/>
      </w:r>
      <w:r w:rsidR="00550A39">
        <w:t/>
      </w:r>
      <w:r w:rsidRPr="00521500">
        <w:t/>
      </w:r>
    </w:p>
    <w:p w14:paraId="1311C656" w14:textId="12CBE795" w:rsidR="00CE39BA" w:rsidRDefault="00224D10" w:rsidP="00EB1B11">
      <w:pPr>
        <w:jc w:val="both"/>
      </w:pPr>
      <w:r>
        <w:t>Se, em ambos os casos, o aprofundamento da mercantilização da alimentação levou a sociedade civil a se organizar coletivamente para garantir o abastecimento alimentar em última instância, as mediações políticas que produzem essa organização são muito diferentes. As duas principais diferenças, de um ponto de vista estrutural, são, de um lado, a articulação entre a pequena produção agrícola, de caráter camponês, e a assistência alimentar e, de outro, o vínculo entre o Estado e as pessoas envolvidas. Na França, desde os anos 1980, a política de assistência alimentar está inteiramente submetida ao referencial da agricultura comercial. As associações habilitadas asseguram o essencial da distribuição, com o apoio de doações privadas, reduções fiscais, compras públicas e financiamentos europeus, enquanto parte importante do abastecimento provém de produtos não vendidos ou de doações da grande distribuição e das empresas agroalimentares. Com efeito, da loi Coluche à loi Garot, são as associações que se encarregam da ajuda alimentar. Estas se beneficiam de incentivos fiscais sobre seu financiamento direto, do abastecimento proveniente dos produtos não vendidos e doados com benefícios fiscais pela grande distribuição, bem como de auxílios europeus por meio do fundo FSE+. Os dispositivos recentes (loi EGalim, PAT, Cocolupa, programme Mieux manger pour tous) certamente criam pontes entre qualidade alimentar, alimentação coletiva, territorialização e combate à precariedade, mas permanecem fragmentários e não constituem um equivalente funcional dos mercados institucionais brasileiros.</w:t>
      </w:r>
      <w:r w:rsidR="00FE255F">
        <w:t/>
      </w:r>
      <w:r>
        <w:t/>
      </w:r>
      <w:r w:rsidR="00EB406C">
        <w:t/>
      </w:r>
      <w:r w:rsidR="001B3354">
        <w:t/>
      </w:r>
      <w:r w:rsidR="00EB406C">
        <w:t/>
      </w:r>
      <w:r w:rsidR="001B3354">
        <w:t/>
      </w:r>
      <w:r w:rsidR="00EB406C">
        <w:t/>
      </w:r>
      <w:r w:rsidR="001B3354">
        <w:t/>
      </w:r>
      <w:r w:rsidR="00EB406C">
        <w:t/>
      </w:r>
      <w:r>
        <w:t/>
      </w:r>
      <w:r w:rsidR="009D7C8D">
        <w:t/>
      </w:r>
      <w:r>
        <w:t/>
      </w:r>
      <w:r w:rsidR="009D7C8D">
        <w:t/>
      </w:r>
      <w:r>
        <w:t/>
      </w:r>
      <w:r w:rsidR="009D7C8D">
        <w:t/>
      </w:r>
      <w:r>
        <w:t/>
      </w:r>
      <w:r w:rsidR="00E37B10">
        <w:t/>
      </w:r>
      <w:r>
        <w:t/>
      </w:r>
      <w:r w:rsidR="00B06572">
        <w:t/>
      </w:r>
      <w:r w:rsidR="00972920">
        <w:t/>
      </w:r>
      <w:r w:rsidR="00396866">
        <w:t/>
      </w:r>
      <w:r w:rsidR="007E5D85" w:rsidRPr="007E5D85">
        <w:t/>
      </w:r>
      <w:r w:rsidR="00972920">
        <w:t/>
      </w:r>
      <w:r w:rsidR="007E5D85">
        <w:t/>
      </w:r>
      <w:proofErr w:type="spellStart"/>
      <w:r w:rsidR="007E5D85">
        <w:t/>
      </w:r>
      <w:r w:rsidR="003106CD" w:rsidRPr="003106CD">
        <w:t/>
      </w:r>
      <w:r w:rsidR="003106CD">
        <w:t/>
      </w:r>
      <w:r w:rsidR="003106CD" w:rsidRPr="003106CD">
        <w:t/>
      </w:r>
      <w:r w:rsidR="003106CD">
        <w:t/>
      </w:r>
      <w:proofErr w:type="spellEnd"/>
      <w:r w:rsidR="003106CD">
        <w:t/>
      </w:r>
      <w:r>
        <w:t/>
      </w:r>
      <w:r w:rsidR="00FB475E">
        <w:t/>
      </w:r>
      <w:r>
        <w:t/>
      </w:r>
      <w:r>
        <w:lastRenderedPageBreak/>
        <w:t/>
      </w:r>
      <w:r w:rsidR="00B94D0E" w:rsidRPr="00CE39BA">
        <w:t/>
      </w:r>
      <w:r w:rsidR="00B94D0E">
        <w:t/>
      </w:r>
      <w:r>
        <w:t/>
      </w:r>
      <w:r w:rsidR="00C63DFD">
        <w:t/>
      </w:r>
      <w:r w:rsidR="000A0AE3" w:rsidRPr="000A0AE3">
        <w:t/>
      </w:r>
      <w:r w:rsidR="000A0AE3">
        <w:t/>
      </w:r>
      <w:r w:rsidR="000A0AE3" w:rsidRPr="000A0AE3">
        <w:t/>
      </w:r>
      <w:proofErr w:type="spellStart"/>
      <w:r w:rsidR="000A0AE3" w:rsidRPr="000A0AE3">
        <w:t/>
      </w:r>
      <w:proofErr w:type="spellEnd"/>
      <w:r w:rsidR="000A0AE3" w:rsidRPr="000A0AE3">
        <w:t/>
      </w:r>
      <w:proofErr w:type="spellStart"/>
      <w:r w:rsidR="000A0AE3" w:rsidRPr="000A0AE3">
        <w:t/>
      </w:r>
      <w:proofErr w:type="spellEnd"/>
      <w:r w:rsidR="000A0AE3" w:rsidRPr="000A0AE3">
        <w:t/>
      </w:r>
      <w:r w:rsidR="000A0AE3">
        <w:t/>
      </w:r>
      <w:r w:rsidR="000A0AE3" w:rsidRPr="000A0AE3">
        <w:t/>
      </w:r>
    </w:p>
    <w:p w14:paraId="4DD90609" w14:textId="4CAEB488" w:rsidR="00EB1B11" w:rsidRPr="001F7165" w:rsidRDefault="00954389" w:rsidP="00EB1B11">
      <w:pPr>
        <w:jc w:val="both"/>
        <w:rPr>
          <w:highlight w:val="yellow"/>
        </w:rPr>
      </w:pPr>
      <w:r w:rsidRPr="00954389">
        <w:t xml:space="preserve">No Brasil, ao contrário, as políticas alimentares oriundas da sequência do plano </w:t>
      </w:r>
      <w:r>
        <w:t/>
      </w:r>
      <w:proofErr w:type="spellStart"/>
      <w:r w:rsidRPr="00954389">
        <w:rPr>
          <w:i/>
          <w:iCs/>
        </w:rPr>
        <w:t>Fome Zero</w:t>
      </w:r>
      <w:proofErr w:type="spellEnd"/>
      <w:r w:rsidRPr="00954389">
        <w:rPr>
          <w:i/>
          <w:iCs/>
        </w:rPr>
        <w:t/>
      </w:r>
      <w:r w:rsidRPr="00954389">
        <w:t xml:space="preserve">, após a chegada de Lula ao poder em 2003, integraram mais estreitamente a assistência alimentar, a segurança alimentar e nutricional e o desenvolvimento rural. O PAA organiza a compra pública direta de produtos da agricultura familiar para redistribuí-los a equipamentos ou organizações que atendem populações em situação de insegurança alimentar; a alimentação escolar tornou-se progressivamente um mercado institucional para a agricultura familiar, com um percentual mínimo legal que passou de 30% para 45% dos recursos federais a partir de 2026. Essa arquitetura confere à política alimentar uma função de mediação entre reprodução social, compras públicas e reconhecimento político da agricultura familiar. Contudo, ela não elimina as contradições agrárias brasileiras. Antes, sinaliza a institucionalização parcial de um referencial concorrente dentro de uma economia política duradouramente estruturada pelo poder do agronegócio, pela conflitividade fundiária e pela coexistência de várias ordens sociais agrícolas </w:t>
      </w:r>
      <w:r w:rsidR="006809A7">
        <w:t/>
      </w:r>
      <w:r w:rsidRPr="00954389">
        <w:t/>
      </w:r>
      <w:r w:rsidR="00CA0713">
        <w:t/>
      </w:r>
      <w:r w:rsidRPr="00954389">
        <w:t/>
      </w:r>
      <w:r w:rsidR="00CA0713">
        <w:t/>
      </w:r>
      <w:r w:rsidRPr="00954389">
        <w:t/>
      </w:r>
      <w:r w:rsidR="005230A2">
        <w:t/>
      </w:r>
      <w:r w:rsidRPr="00954389">
        <w:t/>
      </w:r>
      <w:r w:rsidR="005230A2">
        <w:t/>
      </w:r>
      <w:r w:rsidRPr="00954389">
        <w:t/>
      </w:r>
      <w:r w:rsidR="009B3826">
        <w:t/>
      </w:r>
      <w:r w:rsidRPr="00954389">
        <w:t/>
      </w:r>
      <w:r w:rsidR="009B3826">
        <w:t/>
      </w:r>
      <w:r w:rsidRPr="00954389">
        <w:t/>
      </w:r>
      <w:r w:rsidR="00842EC0">
        <w:t/>
      </w:r>
      <w:r w:rsidR="00ED193A" w:rsidRPr="00505BF7">
        <w:fldChar w:fldCharType="begin"/>
      </w:r>
      <w:r w:rsidR="00ED193A" w:rsidRPr="00505BF7">
        <w:instrText xml:space="preserve"> ADDIN ZOTERO_ITEM CSL_CITATION {"citationID":"qWwSVpZO","properties":{"formattedCitation":"(Niederle, 2018; Sauer &amp; M\\uc0\\u233{}sz\\uc0\\u225{}ros, 2017; Wittman &amp; Blesh, 2017)","plainCitation":"(Niederle, 2018; Sauer &amp; Mészáros, 2017; Wittman &amp; Blesh, 2017)","noteIndex":0},"citationItems":[{"id":12079,"uris":["http://zotero.org/users/10222123/items/5FBJICT2"],"itemData":{"id":12079,"type":"article-journal","abstract":"The food regime approach occupies a privileged place in the sociology of agriculture and food. However, it is criticized for its structural, universalist and homogenizing bias. From a dialogue between institutionalism and pragmatism, this contribution discusses an alternative framework constructed from the ‘social order’ concept, which defines the existence of different arrangements of practices related to socio-technical and institutional apparatuses. Both the critique of the ‘regime’ narrative and the new proposition are associated to a reinterpretation of Brazil’s agricultural trajectory. Contrasting with the overemphasized export-oriented plantation/agribusiness image that prevails in the majority of analysis about Brazilian insertion in globalized agri-food regime, this paper explores the heterogeneity of production and consumption practices, arguing for the coexistence of multiple and contradictory ordering processes.","citation-key":"niederlePluralistPragmatistCritique2018","container-title":"The Journal of Peasant Studies","DOI":"10.1080/03066150.2017.1313238","ISSN":"0306-6150","issue":"7","note":"_eprint: https://doi.org/10.1080/03066150.2017.1313238","page":"1460-1483","publisher":"Routledge","source":"Taylor and Francis+NEJM","title":"A pluralist and pragmatist critique of food regime’s genealogy: varieties of social orders in Brazilian agriculture","title-short":"A pluralist and pragmatist critique of food regime’s genealogy","volume":"45","author":[{"family":"Niederle","given":"Paulo"}],"issued":{"date-parts":[["2018",11,10]]}}},{"id":11848,"uris":["http://zotero.org/users/10222123/items/DBS6P969"],"itemData":{"id":11848,"type":"article-journal","abstract":"This paper analyses the agrarian policies of the governments of Presidents Lula (2003–2010) and Dilma Rousseff (2011–2016) in the light of the contradiction between the historical support for land reform and agrarian social movements by the Workers' Party (PT) on the one hand, and the PT's more recent electoral and political alliances with agribusiness on the other. After more than a decade of progressive administrations, key government programmes have only accounted for marginal gains and in some cases setbacks, symbolized by the failure to expand the expropriation of new land and settle landless families on an adequate scale. The collapse of those alliances and 2016's impeachment process of President Rousseff marks the end of that cycle, highlighting strategic and policy failures. The paper examines government actions, the historical causes and roots of land conflicts, and struggles for land and territory, as well as the difficulties of mobilization. The paper focuses upon political disputes, particularly new processes of criminalization, economic disputes, surrounding the role of agribusiness, and the challenges related to struggles for land and territorial rights in a situation ruled by a progressive party and governments.","citation-key":"sauerPoliticalEconomyLand2017","container-title":"Journal of Agrarian Change","DOI":"10.1111/joac.12206","note":"ADS Bibcode: 2017JAgrC..17..397S","page":"397-414","publisher":"Wiley","source":"NASA ADS","title":"The political economy of land struggle in Brazil under Workers' Party governments","volume":"17","author":[{"family":"Sauer","given":"Sérgio"},{"family":"Mészáros","given":"George"}],"issued":{"date-parts":[["2017",4,1]]}}},{"id":14266,"uris":["http://zotero.org/users/10222123/items/VRZEJT3M"],"itemData":{"id":14266,"type":"article-journal","abstract":"The global discourse on food sovereignty suggests several mechanisms for improving food security and agricultural livelihoods, including redistributive land reform and restructuring of markets to improve food distribution and access. In Brazil, the Fome Zero (Zero Hunger) social welfare programme has created innovative links between public nutrition and food sec</w:instrText>
      </w:r>
      <w:r w:rsidR="00ED193A" w:rsidRPr="001F7165">
        <w:instrText>urity programmes and rural development initiatives through mediated market support for the family farm sector. We report on a participatory assessment of the experience of land reform bene</w:instrText>
      </w:r>
      <w:r w:rsidR="00ED193A" w:rsidRPr="00505BF7">
        <w:instrText>ﬁ</w:instrText>
      </w:r>
      <w:r w:rsidR="00ED193A" w:rsidRPr="001F7165">
        <w:instrText>ciaries in seven municipalities in Mato Grosso, Brazil, who were contracted to produce food for the Programa de Aquisição de Alimentos (Food Procurement Programme, PAA) and the Programa Nacional de Alimentação Escolar (National School Feeding Programme, PNAE) under the umbrella of Fome Zero. This analysis offers insight into the opportunities and challenges related to participation in mediated ‘farm-to-institution’ food procurement programmes, and assesses their in</w:instrText>
      </w:r>
      <w:r w:rsidR="00ED193A" w:rsidRPr="00505BF7">
        <w:instrText>ﬂ</w:instrText>
      </w:r>
      <w:r w:rsidR="00ED193A" w:rsidRPr="001F7165">
        <w:instrText xml:space="preserve">uence on key food sovereignty principles, including agro-ecological transition, increased market stability and farmer autonomy.","citation-key":"wittmanFoodSovereigntyOme2017","container-title":"Journal of Agrarian Change","DOI":"10.1111/joac.12131","ISSN":"1471-0358, 1471-0366","issue":"1","journalAbbreviation":"Journal of Agrarian Change","language":"en","page":"81-105","source":"DOI.org (Crossref)","title":"Food Sovereignty and Fome Zero: Connecting Public Food Procurement Programmes to Sustainable Rural Development in Brazil","title-short":"Food Sovereignty and &lt;i&gt; &lt;span style=\"font-variant&lt;/i&gt;","volume":"17","author":[{"family":"Wittman","given":"Hannah"},{"family":"Blesh","given":"Jennifer"}],"issued":{"date-parts":[["2017",1]]}}}],"schema":"https://github.com/citation-style-language/schema/raw/master/csl-citation.json"} </w:instrText>
      </w:r>
      <w:r w:rsidR="00ED193A" w:rsidRPr="00505BF7">
        <w:fldChar w:fldCharType="separate"/>
      </w:r>
      <w:r w:rsidR="00ED193A" w:rsidRPr="001F7165">
        <w:rPr>
          <w:rFonts w:cs="Times New Roman"/>
          <w:kern w:val="0"/>
        </w:rPr>
        <w:t>(Niederle, 2018; Sauer &amp; Mészáros, 2017; Wittman &amp; Blesh, 2017)</w:t>
      </w:r>
      <w:r w:rsidR="00ED193A" w:rsidRPr="00505BF7">
        <w:fldChar w:fldCharType="end"/>
      </w:r>
      <w:r w:rsidR="003F29B6" w:rsidRPr="001F7165">
        <w:t>.</w:t>
      </w:r>
    </w:p>
    <w:p w14:paraId="31207B9D" w14:textId="76A4A55A" w:rsidR="00EB1B11" w:rsidRPr="00E156A1" w:rsidRDefault="00EB1B11" w:rsidP="00EB1B11">
      <w:pPr>
        <w:jc w:val="both"/>
      </w:pPr>
      <w:r w:rsidRPr="00875720">
        <w:t>Elevando o nível de abstração, já podemos destacar que existe, tanto na França quanto no Brasil, uma clara dominação do referencial da segurança alimentar e da agricultura produtivista na condução histórica das políticas agrícolas, simbolizada pelo vínculo [PSA←E] nas duas moléculas (</w:t>
      </w:r>
      <w:r w:rsidR="00875720">
        <w:t/>
      </w:r>
      <w:r w:rsidR="00E7038D">
        <w:t/>
      </w:r>
      <w:r w:rsidR="007F6F4F">
        <w:t/>
      </w:r>
      <w:r w:rsidR="007F6248">
        <w:t/>
      </w:r>
      <w:r w:rsidR="00000EFA">
        <w:t/>
      </w:r>
      <w:r w:rsidR="00B003D0">
        <w:t/>
      </w:r>
      <w:r w:rsidR="00000EFA" w:rsidRPr="00642A8A">
        <w:t/>
      </w:r>
      <w:r w:rsidR="00B003D0">
        <w:t/>
      </w:r>
      <w:r w:rsidR="00000EFA">
        <w:t/>
      </w:r>
      <w:r w:rsidR="00657166">
        <w:t/>
      </w:r>
      <w:r w:rsidR="000A2481">
        <w:fldChar w:fldCharType="begin"/>
      </w:r>
      <w:r w:rsidR="000A2481">
        <w:instrText xml:space="preserve"> REF _Ref224810355 \h </w:instrText>
      </w:r>
      <w:r w:rsidR="000A2481">
        <w:fldChar w:fldCharType="separate"/>
      </w:r>
      <w:r w:rsidR="000A2481">
        <w:t xml:space="preserve">Figure </w:t>
      </w:r>
      <w:r w:rsidR="000A2481">
        <w:rPr>
          <w:noProof/>
        </w:rPr>
        <w:t>3</w:t>
      </w:r>
      <w:r w:rsidR="000A2481">
        <w:fldChar w:fldCharType="end"/>
      </w:r>
      <w:r w:rsidR="00657166">
        <w:t xml:space="preserve">). Na França, o nível superior é polarizado em direção à esfera econômica ([-,+]). De fato, as lógicas que melhor descrevem a proteção alimentar são, em geral, deixadas aos atores privados, com uma intervenção pública amplamente subordinada aos interesses da agricultura comercial e da indústria agroalimentar, embora quantitativamente importante. No Brasil, ao contrário, embora o </w:t>
      </w:r>
      <w:r w:rsidR="000A2481">
        <w:t/>
      </w:r>
      <w:r w:rsidR="001944AB">
        <w:t/>
      </w:r>
      <w:r w:rsidR="00ED776D">
        <w:t/>
      </w:r>
      <w:r w:rsidR="0097585B">
        <w:t/>
      </w:r>
      <w:r w:rsidR="00032625">
        <w:t/>
      </w:r>
      <w:r w:rsidR="004A58C2">
        <w:t/>
      </w:r>
      <w:r w:rsidR="00A86B3D">
        <w:t/>
      </w:r>
      <w:r w:rsidR="00A4049F">
        <w:t/>
      </w:r>
      <w:r w:rsidR="00202B0A">
        <w:t/>
      </w:r>
      <w:r w:rsidR="00800E26">
        <w:t/>
      </w:r>
      <w:r w:rsidR="00891DF3">
        <w:t/>
      </w:r>
      <w:r w:rsidR="00800E26">
        <w:t/>
      </w:r>
      <w:r w:rsidR="00322AF2">
        <w:t/>
      </w:r>
      <w:r w:rsidR="00C06A3B">
        <w:t/>
      </w:r>
      <w:r w:rsidR="002A2C1B">
        <w:t/>
      </w:r>
      <w:r w:rsidR="008A6631" w:rsidRPr="008A6631">
        <w:t/>
      </w:r>
      <w:r w:rsidR="00296B34">
        <w:t/>
      </w:r>
      <w:r w:rsidR="00FB6073">
        <w:t/>
      </w:r>
      <w:r w:rsidR="00296B34">
        <w:t/>
      </w:r>
      <w:r w:rsidR="00802705">
        <w:t/>
      </w:r>
      <w:r w:rsidR="00802705">
        <w:rPr>
          <w:i/>
          <w:iCs/>
        </w:rPr>
        <w:t xml:space="preserve">agronegócio </w:t>
      </w:r>
      <w:r w:rsidR="00E156A1">
        <w:t xml:space="preserve">exerça amplo controle sobre a política agrícola destinada às grandes propriedades, a proteção alimentar responde a um referencial autônomo e enraizado, articulado à assistência social e ao desenvolvimento agrário e gerido por dois ministérios autônomos em relação ao Ministério da Agricultura e Pecuária. Esses dois ministérios são o Ministério do Desenvolvimento Agrário e Agricultura Familiar e o Ministério do Desenvolvimento e Assistência Social, Família e Combate à Fome, complementados por um conselho específico de democracia participativa (o Consea). Além dessa autonomização, uma câmara interministerial assegura a coerência da ação do Estado federal no combate à fome, colocando-o, </w:t>
      </w:r>
      <w:r w:rsidR="00557C34">
        <w:t/>
      </w:r>
      <w:r w:rsidR="00765850">
        <w:t/>
      </w:r>
      <w:r w:rsidR="00D26984">
        <w:t/>
      </w:r>
      <w:r w:rsidR="00290E81">
        <w:t/>
      </w:r>
      <w:r w:rsidR="0053097E">
        <w:t/>
      </w:r>
      <w:r w:rsidR="002D375F">
        <w:t/>
      </w:r>
      <w:r w:rsidR="001265FE">
        <w:t/>
      </w:r>
      <w:r w:rsidR="002D375F">
        <w:t/>
      </w:r>
      <w:r w:rsidR="0064769B">
        <w:t/>
      </w:r>
      <w:r w:rsidR="002D375F">
        <w:t/>
      </w:r>
      <w:r w:rsidR="0064769B">
        <w:t/>
      </w:r>
      <w:r w:rsidR="002D375F">
        <w:t/>
      </w:r>
      <w:r w:rsidR="0064769B">
        <w:t/>
      </w:r>
      <w:r w:rsidR="00304574">
        <w:t/>
      </w:r>
      <w:r w:rsidR="00097E69">
        <w:t/>
      </w:r>
      <w:r w:rsidR="00304574">
        <w:t/>
      </w:r>
      <w:proofErr w:type="spellStart"/>
      <w:r w:rsidR="00304574">
        <w:t/>
      </w:r>
      <w:proofErr w:type="spellEnd"/>
      <w:r w:rsidR="00304574">
        <w:t/>
      </w:r>
      <w:r w:rsidR="002D375F">
        <w:t/>
      </w:r>
      <w:r w:rsidR="001D1C6C">
        <w:t/>
      </w:r>
      <w:r w:rsidR="00743872">
        <w:t/>
      </w:r>
      <w:r w:rsidR="001D1C6C">
        <w:t/>
      </w:r>
      <w:r w:rsidR="003F5148" w:rsidRPr="007E5D85">
        <w:t/>
      </w:r>
      <w:r w:rsidR="003F5148">
        <w:t/>
      </w:r>
      <w:r w:rsidR="001D1C6C">
        <w:t/>
      </w:r>
      <w:r w:rsidR="001148DC">
        <w:t/>
      </w:r>
      <w:r w:rsidR="001D1C6C">
        <w:t/>
      </w:r>
      <w:r w:rsidR="00191BED">
        <w:t/>
      </w:r>
      <w:r w:rsidR="00191BED" w:rsidRPr="001212D8">
        <w:rPr>
          <w:i/>
          <w:iCs/>
        </w:rPr>
        <w:t>de facto</w:t>
      </w:r>
      <w:r w:rsidR="00191BED">
        <w:t xml:space="preserve">, no centro da ação social. Quanto ao nível inferior da molécula do SNPSA, a produção de referenciais para a ação pública contra a fome está sujeita a uma dialética constante entre o local e o federal, entre movimentos sociais e servidores públicos no âmbito do Consea </w:t>
      </w:r>
      <w:r w:rsidR="001212D8">
        <w:t/>
      </w:r>
      <w:r w:rsidR="001D1C6C">
        <w:t/>
      </w:r>
      <w:r w:rsidR="00042C6A">
        <w:t/>
      </w:r>
      <w:r w:rsidR="00930DB3">
        <w:t/>
      </w:r>
      <w:r w:rsidR="00042C6A">
        <w:t/>
      </w:r>
      <w:r w:rsidR="00856D1C">
        <w:t/>
      </w:r>
      <w:r w:rsidR="00077996">
        <w:t/>
      </w:r>
      <w:r w:rsidR="00C07DFD">
        <w:t/>
      </w:r>
      <w:r w:rsidR="00C07DFD">
        <w:lastRenderedPageBreak/>
        <w:t/>
      </w:r>
      <w:r w:rsidR="00536C7C">
        <w:t/>
      </w:r>
      <w:proofErr w:type="spellStart"/>
      <w:r w:rsidR="00536C7C">
        <w:t/>
      </w:r>
      <w:proofErr w:type="spellEnd"/>
      <w:r w:rsidR="005A396E">
        <w:t/>
      </w:r>
      <w:r w:rsidR="008C4AB8">
        <w:fldChar w:fldCharType="begin"/>
      </w:r>
      <w:r w:rsidR="00FF6333">
        <w:instrText xml:space="preserve"> ADDIN ZOTERO_ITEM CSL_CITATION {"citationID":"wlareNPP","properties":{"formattedCitation":"(Sencebe &amp; Pinton, 2020)","plainCitation":"(Sencebe &amp; Pinton, 2020)","noteIndex":0},"citationItems":[{"id":5258,"uris":["http://zotero.org/users/10222123/items/DRT9AAKU"],"itemData":{"id":5258,"type":"chapter","citation-key":"sencebe4GouvernerSecurite2020","collection-title":"Res publica","container-title":"Quand l’alimentation se fait politique(s)","DOI":"10.4000/books.pur.146050","ISBN":"978-2-7535-8562-1","language":"fr","license":"https://www.openedition.org/12554","page":"103-121","publisher":"Presses universitaires de Rennes","publisher-place":"Rennes","source":"OpenEdition Books","title":"4. Gouverner la sécurité alimentaire au Brésil, une approche sociale et participative des politiques alimentaires","URL":"https://books.openedition.org/pur/146050","author":[{"family":"Sencebe","given":"Yannick"},{"family":"Pinton","given":"Florence"}],"editor":[{"family":"Fouilleux","given":"Ève"},{"family":"Michel","given":"Laura"}],"accessed":{"date-parts":[["2024",11,8]]},"issued":{"date-parts":[["2020"]]}}}],"schema":"https://github.com/citation-style-language/schema/raw/master/csl-citation.json"} </w:instrText>
      </w:r>
      <w:r w:rsidR="008C4AB8">
        <w:fldChar w:fldCharType="separate"/>
      </w:r>
      <w:r w:rsidR="00DF6BD6" w:rsidRPr="00DF6BD6">
        <w:rPr>
          <w:rFonts w:cs="Times New Roman"/>
        </w:rPr>
        <w:t>(Sencebe &amp; Pinton, 2020)</w:t>
      </w:r>
      <w:r w:rsidR="008C4AB8">
        <w:fldChar w:fldCharType="end"/>
      </w:r>
      <w:r w:rsidR="00536C7C">
        <w:t>. Embora o abastecimento pelo mercado tenha se expandido consideravelmente no Brasil e faça parte das tendências estruturais descritas acima, a proteção, em última instância, das pessoas mais vulneráveis integra, sob Lula, uma política social integrada e participativa, que vai muito além do papel de simples rede de proteção. Na França, ao contrário, o nível inferior é marcado por uma polarização inversa: o abastecimento pelo mercado é ultradominante e, apesar de espaços de discussão como os états généraux de l’alimentation criados recentemente, os referenciais relativos à ajuda alimentar são sistematicamente herdados de outros referenciais provenientes de outros domínios da ação pública (combate ao desperdício, assistência social).</w:t>
      </w:r>
      <w:r w:rsidR="00A705ED">
        <w:t/>
      </w:r>
      <w:r w:rsidR="00647EBC">
        <w:t/>
      </w:r>
      <w:r w:rsidR="00A705ED">
        <w:t/>
      </w:r>
      <w:r w:rsidR="001E5A08">
        <w:t/>
      </w:r>
      <w:r w:rsidR="00E3366C">
        <w:t/>
      </w:r>
      <w:r w:rsidR="00894590">
        <w:t/>
      </w:r>
      <w:r w:rsidR="00BB284A">
        <w:t/>
      </w:r>
      <w:r w:rsidR="003C1526">
        <w:t/>
      </w:r>
      <w:r w:rsidR="00894590">
        <w:t/>
      </w:r>
      <w:r w:rsidR="00933109" w:rsidRPr="008A6631">
        <w:t/>
      </w:r>
      <w:r w:rsidR="00933109">
        <w:t/>
      </w:r>
      <w:r w:rsidR="00192CC3">
        <w:t/>
      </w:r>
      <w:r w:rsidR="00900CBE">
        <w:t/>
      </w:r>
      <w:r w:rsidR="0059267F">
        <w:t/>
      </w:r>
      <w:proofErr w:type="spellStart"/>
      <w:r w:rsidR="0059267F">
        <w:t/>
      </w:r>
      <w:proofErr w:type="spellEnd"/>
      <w:r w:rsidR="0059267F">
        <w:t/>
      </w:r>
      <w:r w:rsidR="009750AA">
        <w:t/>
      </w:r>
      <w:r w:rsidR="0073045C">
        <w:t/>
      </w:r>
      <w:r w:rsidR="00192C71">
        <w:t/>
      </w:r>
      <w:r w:rsidR="007967FA">
        <w:t/>
      </w:r>
      <w:r w:rsidR="00D609F8">
        <w:t/>
      </w:r>
      <w:r w:rsidR="001C605F">
        <w:t/>
      </w:r>
      <w:r w:rsidR="00E5568E">
        <w:t/>
      </w:r>
      <w:r w:rsidR="008665D3">
        <w:t/>
      </w:r>
      <w:r w:rsidR="00E5568E">
        <w:t/>
      </w:r>
    </w:p>
    <w:p w14:paraId="1800DEDB" w14:textId="390B4211" w:rsidR="00EB1B11" w:rsidRDefault="006D17E8" w:rsidP="00EB1B11">
      <w:pPr>
        <w:pStyle w:val="Lgende"/>
        <w:jc w:val="center"/>
      </w:pPr>
      <w:bookmarkStart w:id="2" w:name="_Ref224738679"/>
      <w:r w:rsidRPr="006D17E8">
        <w:rPr>
          <w:noProof/>
        </w:rPr>
        <w:drawing>
          <wp:inline distT="0" distB="0" distL="0" distR="0" wp14:anchorId="7FF2694D" wp14:editId="17610BFE">
            <wp:extent cx="4981611" cy="2266967"/>
            <wp:effectExtent l="0" t="0" r="0" b="0"/>
            <wp:docPr id="509230072" name="Image 1" descr="O diagrama compara dois tipos ideais de proteção social alimentar: “Clientelismo intervencionista” na França e “Estado de bem-estar social alimentar” no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0072" name="Image 1" descr="R&#10;&#10;Le contenu généré par l’IA peut être incorrect."/>
                    <pic:cNvPicPr/>
                  </pic:nvPicPr>
                  <pic:blipFill>
                    <a:blip r:embed="rId11"/>
                    <a:stretch>
                      <a:fillRect/>
                    </a:stretch>
                  </pic:blipFill>
                  <pic:spPr>
                    <a:xfrm>
                      <a:off x="0" y="0"/>
                      <a:ext cx="4981611" cy="2266967"/>
                    </a:xfrm>
                    <a:prstGeom prst="rect">
                      <a:avLst/>
                    </a:prstGeom>
                  </pic:spPr>
                </pic:pic>
              </a:graphicData>
            </a:graphic>
          </wp:inline>
        </w:drawing>
      </w:r>
      <w:r w:rsidR="00EB1B11" w:rsidRPr="00EB1B11">
        <w:t xml:space="preserve"> </w:t>
      </w:r>
    </w:p>
    <w:p w14:paraId="4D7A08F9" w14:textId="30C1DB25" w:rsidR="00EB1B11" w:rsidRDefault="00EB1B11" w:rsidP="00EB1B11">
      <w:pPr>
        <w:pStyle w:val="Lgende"/>
        <w:jc w:val="center"/>
      </w:pPr>
      <w:bookmarkStart w:id="3" w:name="_Ref224810355"/>
      <w:r>
        <w:t xml:space="preserve">Figura </w:t>
      </w:r>
      <w:fldSimple w:instr=" SEQ Figure \* ARABIC ">
        <w:r>
          <w:rPr>
            <w:noProof/>
          </w:rPr>
          <w:t>3</w:t>
        </w:r>
      </w:fldSimple>
      <w:bookmarkEnd w:id="2"/>
      <w:bookmarkEnd w:id="3"/>
      <w:r>
        <w:t xml:space="preserve"> - Dois tipos ideais de proteção social alimentar</w:t>
      </w:r>
    </w:p>
    <w:p w14:paraId="537124AA" w14:textId="2D57C5DC" w:rsidR="004E0F83" w:rsidRPr="004E0F83" w:rsidRDefault="000113E9" w:rsidP="00ED7F43">
      <w:pPr>
        <w:jc w:val="both"/>
      </w:pPr>
      <w:r>
        <w:t xml:space="preserve">Esta análise permite mostrar, por meio dessas duas polarizações, um tipo ideal brasileiro no qual a proteção alimentar é um componente essencial da ação do Estado e o núcleo não mercantil [P-PSA-D] da solidariedade alimentar constitui uma importante fonte de legitimação do Estado. Embora o Brasil nunca tenha visto surgir, fora do trabalho assalariado formal, um Estado de bem-estar social universal comparável aos </w:t>
      </w:r>
      <w:r w:rsidR="004E0F83">
        <w:t/>
      </w:r>
      <w:r w:rsidR="005D02CD">
        <w:t/>
      </w:r>
      <w:r w:rsidR="001A6304">
        <w:t/>
      </w:r>
      <w:r w:rsidR="005D02CD">
        <w:t/>
      </w:r>
      <w:r w:rsidR="00231F4A">
        <w:t/>
      </w:r>
      <w:r w:rsidR="000F253A">
        <w:t/>
      </w:r>
      <w:r w:rsidR="00877986">
        <w:t/>
      </w:r>
      <w:r w:rsidR="00CA2AEB">
        <w:t/>
      </w:r>
      <w:r w:rsidR="00A747E1">
        <w:t/>
      </w:r>
      <w:r w:rsidR="00A45930" w:rsidRPr="007E5D85">
        <w:t/>
      </w:r>
      <w:r w:rsidR="00A747E1">
        <w:t/>
      </w:r>
      <w:r w:rsidR="00776C2B">
        <w:t/>
      </w:r>
      <w:r w:rsidR="00073235">
        <w:t/>
      </w:r>
      <w:r w:rsidR="00A62604">
        <w:t/>
      </w:r>
      <w:r w:rsidR="00F418B9">
        <w:t/>
      </w:r>
      <w:r w:rsidR="00A62604">
        <w:t/>
      </w:r>
      <w:r w:rsidR="00F418B9">
        <w:t/>
      </w:r>
      <w:r w:rsidR="00A62604">
        <w:t/>
      </w:r>
      <w:r w:rsidR="00FF6333">
        <w:t/>
      </w:r>
      <w:r w:rsidR="00A62604">
        <w:t/>
      </w:r>
      <w:r w:rsidR="006D7FF6">
        <w:t/>
      </w:r>
      <w:r w:rsidR="00D95B4F">
        <w:t/>
      </w:r>
      <w:r w:rsidR="00D95B4F" w:rsidRPr="007E5D85">
        <w:t/>
      </w:r>
      <w:r w:rsidR="00D95B4F">
        <w:t/>
      </w:r>
      <w:r w:rsidR="00F41AEB">
        <w:t/>
      </w:r>
      <w:r w:rsidR="00C475DC">
        <w:t/>
      </w:r>
      <w:r w:rsidR="00DA7E22">
        <w:t/>
      </w:r>
      <w:r w:rsidR="00DF5821" w:rsidRPr="007E5D85">
        <w:t/>
      </w:r>
      <w:r w:rsidR="006A6F4C">
        <w:t/>
      </w:r>
      <w:r w:rsidR="00554479">
        <w:t/>
      </w:r>
      <w:r w:rsidR="000A23CA">
        <w:t/>
      </w:r>
      <w:r w:rsidR="001A3245">
        <w:t/>
      </w:r>
      <w:r w:rsidR="000A23CA">
        <w:t/>
      </w:r>
      <w:r w:rsidR="00CF6FAE">
        <w:t/>
      </w:r>
      <w:r w:rsidR="001A3245">
        <w:t/>
      </w:r>
      <w:r w:rsidR="00F43275">
        <w:t/>
      </w:r>
      <w:r w:rsidR="00101D4F">
        <w:t/>
      </w:r>
      <w:r w:rsidR="00F43275">
        <w:t/>
      </w:r>
      <w:proofErr w:type="spellStart"/>
      <w:r w:rsidR="00F43275" w:rsidRPr="00F43275">
        <w:rPr>
          <w:i/>
          <w:iCs/>
        </w:rPr>
        <w:t>Estados de bem-estar social</w:t>
      </w:r>
      <w:proofErr w:type="spellEnd"/>
      <w:r w:rsidR="00F43275" w:rsidRPr="00F43275">
        <w:rPr>
          <w:i/>
          <w:iCs/>
        </w:rPr>
        <w:t/>
      </w:r>
      <w:r w:rsidR="00F43275">
        <w:t xml:space="preserve"> europeus, o SNPSA, assim como o Sistema Único de Saúde (SUS), aparece, contudo, como testemunho de uma relação de aliança entre a proteção social, a esfera política e a esfera da reprodução, própria de contextos de países da semiperiferia como o Brasil. Essa participação política popular na elaboração dos referenciais de proteção alimentar no Brasil pode ser vista como uma conflitualização do registro alimentar capaz de tornar visíveis as relações de classe subjacentes. Nesse sentido, pode-se ver nela mais do que uma simples regulação da pobreza funcional à acumulação </w:t>
      </w:r>
      <w:r w:rsidR="00EB0369">
        <w:t/>
      </w:r>
      <w:r w:rsidR="00F228D1">
        <w:t/>
      </w:r>
      <w:r w:rsidR="00F557CD">
        <w:t/>
      </w:r>
      <w:r w:rsidR="002A1512">
        <w:t/>
      </w:r>
      <w:r w:rsidR="00964914">
        <w:t/>
      </w:r>
      <w:r w:rsidR="0032384C">
        <w:t/>
      </w:r>
      <w:r w:rsidR="00164BAE">
        <w:t/>
      </w:r>
      <w:r w:rsidR="00E506C8">
        <w:t/>
      </w:r>
      <w:r w:rsidR="004E6516">
        <w:t/>
      </w:r>
      <w:r w:rsidR="00496FF7">
        <w:t/>
      </w:r>
      <w:r w:rsidR="000D56C7">
        <w:t/>
      </w:r>
      <w:r w:rsidR="00496FF7">
        <w:t/>
      </w:r>
      <w:r w:rsidR="00E90117">
        <w:t/>
      </w:r>
      <w:r w:rsidR="00C16D0A">
        <w:t/>
      </w:r>
      <w:r w:rsidR="00E90117">
        <w:t/>
      </w:r>
      <w:r w:rsidR="00B2080E">
        <w:t/>
      </w:r>
      <w:r w:rsidR="00E90117">
        <w:t/>
      </w:r>
      <w:r w:rsidR="0025006C">
        <w:t/>
      </w:r>
      <w:r w:rsidR="00E90117">
        <w:t/>
      </w:r>
      <w:r w:rsidR="007F7542">
        <w:t/>
      </w:r>
      <w:proofErr w:type="spellStart"/>
      <w:r w:rsidR="007F7542">
        <w:t/>
      </w:r>
      <w:proofErr w:type="spellEnd"/>
      <w:r w:rsidR="007F7542">
        <w:t/>
      </w:r>
      <w:r w:rsidR="00B2080E">
        <w:t/>
      </w:r>
      <w:r w:rsidR="007264CA">
        <w:t/>
      </w:r>
      <w:r w:rsidR="00CB6AA6">
        <w:t/>
      </w:r>
      <w:r w:rsidR="007264CA">
        <w:t/>
      </w:r>
      <w:r w:rsidR="008341D1">
        <w:t/>
      </w:r>
      <w:r w:rsidR="006E6437">
        <w:t/>
      </w:r>
      <w:r w:rsidR="00117E8B">
        <w:t/>
      </w:r>
      <w:r w:rsidR="00633CD9">
        <w:fldChar w:fldCharType="begin"/>
      </w:r>
      <w:r w:rsidR="000D34CC">
        <w:instrText xml:space="preserve"> ADDIN ZOTERO_ITEM CSL_CITATION {"citationID":"jky7iCV5","properties":{"formattedCitation":"(Lautier, 1995)","plainCitation":"(Lautier, 1995)","noteIndex":0},"citationItems":[{"id":14311,"uris":["http://zotero.org/users/10222123/items/Q3N9TTG8"],"itemData":{"id":14311,"type":"article-journal","citation-key":"lautierMalheureuxSontPuissants1995","container-title":"Revue Tiers Monde","DOI":"10.3406/tiers.1995.5768","issue":"142","language":"fre","license":"free","page":"pp. 383-409","publisher":"Persée - Portail des revues scientifiques en SHS","source":"www.persee.fr","title":"Les malheureux sont les puissants de la terre","volume":"XXXVI","author":[{"family":"Lautier","given":"Bruno"}],"issued":{"date-parts":[["1995",6]]}}}],"schema":"https://github.com/citation-style-language/schema/raw/master/csl-citation.json"} </w:instrText>
      </w:r>
      <w:r w:rsidR="00633CD9">
        <w:fldChar w:fldCharType="separate"/>
      </w:r>
      <w:r w:rsidR="00633CD9" w:rsidRPr="00633CD9">
        <w:rPr>
          <w:rFonts w:cs="Times New Roman"/>
        </w:rPr>
        <w:t>(Lautier, 1995)</w:t>
      </w:r>
      <w:r w:rsidR="00633CD9">
        <w:fldChar w:fldCharType="end"/>
      </w:r>
      <w:r w:rsidR="006E6437">
        <w:t>. O tipo ideal francês, ao contrário, é marcado por um abandono histórico do registro da alimentação como campo designado do núcleo não mercantil [P-PSA-D], enquanto a alimentação permanece essencialmente submetida a uma cogestão corporativista e amplamente subordinada à acumulação.</w:t>
      </w:r>
      <w:r w:rsidR="008C3E42" w:rsidRPr="008C3E42">
        <w:t/>
      </w:r>
      <w:r w:rsidR="00F41AEB">
        <w:t/>
      </w:r>
      <w:r w:rsidR="008D66EA">
        <w:t/>
      </w:r>
      <w:r w:rsidR="005E12FB">
        <w:t/>
      </w:r>
      <w:r w:rsidR="00915B24">
        <w:t/>
      </w:r>
      <w:r w:rsidR="009D250F">
        <w:t/>
      </w:r>
      <w:r w:rsidR="00A22FD5">
        <w:t/>
      </w:r>
      <w:r w:rsidR="00D2139E">
        <w:t/>
      </w:r>
      <w:r w:rsidR="00A96293">
        <w:t/>
      </w:r>
      <w:r w:rsidR="002F6AA6">
        <w:t/>
      </w:r>
      <w:r w:rsidR="00A96293">
        <w:t/>
      </w:r>
      <w:r w:rsidR="002F6AA6">
        <w:t/>
      </w:r>
      <w:r w:rsidR="002C67D4">
        <w:t/>
      </w:r>
      <w:r w:rsidR="00A94494">
        <w:t/>
      </w:r>
      <w:r w:rsidR="00633CD9">
        <w:t/>
      </w:r>
      <w:r w:rsidR="0084191D">
        <w:t/>
      </w:r>
      <w:r w:rsidR="00633CD9">
        <w:t/>
      </w:r>
      <w:r w:rsidR="002235CB">
        <w:t/>
      </w:r>
    </w:p>
    <w:p w14:paraId="68680E89" w14:textId="18A93167" w:rsidR="00A354AA" w:rsidRPr="00E55AA0" w:rsidRDefault="00A354AA" w:rsidP="00EC4DB8">
      <w:pPr>
        <w:pStyle w:val="Titre2"/>
        <w:numPr>
          <w:ilvl w:val="0"/>
          <w:numId w:val="9"/>
        </w:numPr>
      </w:pPr>
      <w:r>
        <w:t>As fontes sociopolíticas da diferenciação: algumas pistas</w:t>
      </w:r>
    </w:p>
    <w:p w14:paraId="634317E6" w14:textId="517175D2" w:rsidR="00470B47" w:rsidRDefault="00A54357" w:rsidP="00DE76F2">
      <w:pPr>
        <w:jc w:val="both"/>
      </w:pPr>
      <w:r>
        <w:t xml:space="preserve">Como compreender a maior estatização e integração da política de proteção alimentar no Brasil em comparação com a França? Esta análise estrutural e a identificação dos tipos ideais dela decorrentes permitem identificar diferenças na gênese e na formação, em escala nacional, dos sistemas de proteção social alimentar. Contudo, ela não fixa de modo determinista as causas profundas dessas diferenciações. De acordo com a ideia de que as crises e os compromissos dentro da ordem política são a fonte da mudança institucional </w:t>
      </w:r>
      <w:r w:rsidR="00BC2F0F">
        <w:t/>
      </w:r>
      <w:r w:rsidR="00B50921">
        <w:t/>
      </w:r>
      <w:r w:rsidR="00B50921">
        <w:lastRenderedPageBreak/>
        <w:t/>
      </w:r>
      <w:r w:rsidR="00250D59">
        <w:t/>
      </w:r>
      <w:r w:rsidR="00B50921">
        <w:t/>
      </w:r>
      <w:r w:rsidR="00F47139">
        <w:t/>
      </w:r>
      <w:r w:rsidR="00B50921">
        <w:t/>
      </w:r>
      <w:r w:rsidR="00177D80">
        <w:t/>
      </w:r>
      <w:r w:rsidR="00606703">
        <w:t/>
      </w:r>
      <w:r w:rsidR="008C32B4">
        <w:t/>
      </w:r>
      <w:r w:rsidR="00F13251">
        <w:t/>
      </w:r>
      <w:r w:rsidR="009F58EF">
        <w:t/>
      </w:r>
      <w:r w:rsidR="007D1585">
        <w:t/>
      </w:r>
      <w:r w:rsidR="00AE5431">
        <w:t/>
      </w:r>
      <w:r w:rsidR="0053586D">
        <w:t/>
      </w:r>
      <w:r w:rsidR="00CB229E">
        <w:t/>
      </w:r>
      <w:r w:rsidR="00077EB8">
        <w:t/>
      </w:r>
      <w:r w:rsidR="00890535">
        <w:t/>
      </w:r>
      <w:r w:rsidR="00992B62">
        <w:t/>
      </w:r>
      <w:r w:rsidR="00E7478F">
        <w:t/>
      </w:r>
      <w:r w:rsidR="0047185E">
        <w:t/>
      </w:r>
      <w:r w:rsidR="00640DB7">
        <w:fldChar w:fldCharType="begin"/>
      </w:r>
      <w:r w:rsidR="00003052">
        <w:instrText xml:space="preserve"> ADDIN ZOTERO_ITEM CSL_CITATION {"citationID":"MvTLLibE","properties":{"formattedCitation":"(Amable &amp; Palombarini, 2023; Boyer, 2003)","plainCitation":"(Amable &amp; Palombarini, 2023; Boyer, 2003)","noteIndex":0},"citationItems":[{"id":13335,"uris":["http://zotero.org/users/10222123/items/2FIRRTVQ"],"itemData":{"id":13335,"type":"chapter","citation-key":"boyerAnalysesHistoriquesComparatives2003","container-title":"L'Année de la régulation n° 7 (2003-2004)","DOI":"10.3917/scpo.colle.2003.01.0167","ISBN":"978-2-7246-0925-7","language":"fr","note":"section: Science politique","page":"167-203","publisher":"Presses de Sciences Po","source":"shs.cairn.info","title":"Les analyses historiques comparatives du changement institutionnel : quels enseignements pour la théorie de la régulation ?","title-short":"Les analyses historiques comparatives du changement institutionnel","URL":"https://shs.cairn.info/article/SCPO_COLLE_2003_01_0167","author":[{"family":"Boyer","given":"Robert"}],"accessed":{"date-parts":[["2025",12,2]]},"issued":{"date-parts":[["2003"]]}}},{"id":12566,"uris":["http://zotero.org/users/10222123/items/UITK6A4T"],"itemData":{"id":12566,"type":"article-journal","abstract":"This paper proposes a political economy of social conflict, institutional change and crises based on the diversity of perceived interests among social groups. The multidimensional conflict includes ideology, institutions, and politics. Social groups may be in a dominant or dominated position in one or the other dimension, and the nature of social conflict reflects the differences in positions of the various social groups in these dimensions. Political stability hinges on the existence of a dominant social bloc, i.e. a social alliance supporting the ruling political actors. The implementation of institutional change by political actors is driven by the search for support. Crisis situations correspond to the rupture of the dominant social bloc. Attempts to emerge from the crisis with the reconstitution of a dominant social bloc will have more or less chance of success depending on the possibility of finding a political strategy that can make the expectations of social groups with different perceived interests compatible. Using examples from the French and Italian economic and political situations in recent decades, we show how the proposed analytical framework can inform the study of institutional change in situations of social crisis.","citation-key":"amableMultidimensionalSocialConflict2023","container-title":"New Political Economy","DOI":"10.1080/13563467.2023.2215701","ISSN":"1356-3467","issue":"6","note":"_eprint: https://doi.org/10.1080/13563467.2023.2215701","page":"942-957","publisher":"Routledge","source":"Taylor and Francis+NEJM","title":"Multidimensional social conflict and institutional change","volume":"28","author":[{"family":"Amable","given":"Bruno"},{"family":"Palombarini","given":"Stefano"}],"issued":{"date-parts":[["2023",11,2]]}}}],"schema":"https://github.com/citation-style-language/schema/raw/master/csl-citation.json"} </w:instrText>
      </w:r>
      <w:r w:rsidR="00640DB7">
        <w:fldChar w:fldCharType="separate"/>
      </w:r>
      <w:r w:rsidR="00DF6BD6" w:rsidRPr="00DF6BD6">
        <w:rPr>
          <w:rFonts w:cs="Times New Roman"/>
        </w:rPr>
        <w:t>(Amable &amp; Palombarini, 2023; Boyer, 2003)</w:t>
      </w:r>
      <w:r w:rsidR="00640DB7">
        <w:fldChar w:fldCharType="end"/>
      </w:r>
      <w:r w:rsidR="00640DB7">
        <w:t>, buscaremos essas fontes nas</w:t>
      </w:r>
      <w:r w:rsidR="001C7F3D">
        <w:rPr>
          <w:i/>
          <w:iCs/>
        </w:rPr>
        <w:t xml:space="preserve"> </w:t>
      </w:r>
      <w:r w:rsidR="001E476B">
        <w:t>dinâmicas de aliança e reconfiguração da ordem política que produzem a diversidade das instituições de proteção alimentar.</w:t>
      </w:r>
      <w:r w:rsidR="00B43610">
        <w:t/>
      </w:r>
      <w:r w:rsidR="00C771DE">
        <w:t/>
      </w:r>
      <w:r w:rsidR="00782E29">
        <w:t/>
      </w:r>
      <w:r w:rsidR="00726BB1">
        <w:t/>
      </w:r>
      <w:r w:rsidR="00522F0C">
        <w:t/>
      </w:r>
    </w:p>
    <w:p w14:paraId="786B7518" w14:textId="2BAF7C28" w:rsidR="00967BBB" w:rsidRPr="00197BD1" w:rsidRDefault="00176FA3" w:rsidP="00967BBB">
      <w:pPr>
        <w:jc w:val="both"/>
      </w:pPr>
      <w:r>
        <w:t xml:space="preserve">A forma do SNPSA no Brasil pode ser compreendida, em primeiro lugar, a partir de uma sincronia histórica entre, de um lado, a crise da reprodução social do campesinato e, de outro, a do subproletariado das periferias das grandes cidades. Com efeito, a ditadura militar (1964-1985) interrompeu as mobilizações rurais e consolidou uma aliança com a burguesia latifundiária por meio da repressão aos movimentos sindicais e camponeses do meio rural </w:t>
      </w:r>
      <w:r w:rsidR="00967BBB" w:rsidRPr="00E313CE">
        <w:t/>
      </w:r>
      <w:r w:rsidR="00967BBB">
        <w:t/>
      </w:r>
      <w:r w:rsidR="006B078E">
        <w:t/>
      </w:r>
      <w:r w:rsidR="00967BBB">
        <w:t/>
      </w:r>
      <w:r w:rsidR="0053693E">
        <w:t/>
      </w:r>
      <w:r w:rsidR="000D4DA6">
        <w:t/>
      </w:r>
      <w:r w:rsidR="00081BDA">
        <w:t/>
      </w:r>
      <w:r w:rsidR="00620718">
        <w:t/>
      </w:r>
      <w:proofErr w:type="spellStart"/>
      <w:r w:rsidR="00620718">
        <w:t/>
      </w:r>
      <w:r w:rsidR="00081BDA">
        <w:t/>
      </w:r>
      <w:r w:rsidR="00620718">
        <w:t/>
      </w:r>
      <w:proofErr w:type="spellEnd"/>
      <w:r w:rsidR="00081BDA">
        <w:t/>
      </w:r>
      <w:r w:rsidR="00DD1D24">
        <w:t/>
      </w:r>
      <w:r w:rsidR="00D37F55">
        <w:t/>
      </w:r>
      <w:r w:rsidR="007B5C02">
        <w:t/>
      </w:r>
      <w:r w:rsidR="00D37F55">
        <w:t/>
      </w:r>
      <w:r w:rsidR="00D37F55">
        <w:fldChar w:fldCharType="begin"/>
      </w:r>
      <w:r w:rsidR="00003052">
        <w:instrText xml:space="preserve"> ADDIN ZOTERO_ITEM CSL_CITATION {"citationID":"lAjdH9Uf","properties":{"formattedCitation":"(Houtzager, 1998)","plainCitation":"(Houtzager, 1998)","noteIndex":0},"citationItems":[{"id":14277,"uris":["http://zotero.org/users/10222123/items/Q37JL8P7"],"itemData":{"id":14277,"type":"article-journal","abstract":"In the early 1960s, the dramatic mobilization of rural wage laborers and small farmers placed the agrarian question at the top of the Brazilian political agenda. The question facing governing elites was how to modernize an archaic agrarian sector that was widely perceived as posing a major bottleneck for development and a breeding ground for agrarian radicalism. Until that time, wage laborers and small farmers in various forms of land tenure had effectively been excluded from existing labor legislation, social security, and coverage by national law in general. Instead, various traditional and clientelist forms of social control regulated rural social relations. The new rural movements were led by relatively moderate urban groups or individuals seeking to create a rural political base. Their appearance soon after the Cuban Revolution however, and in the larger context of the cold war, triggered fears of possible revolution. National debate quickly centered not on whether but on how the Brazilian state should intervene in the countryside. Attempts by the populist government of President João Goulart to address the agrarian question were cut short by the military coup of 1964. In its wake, the fledgling rural movements were brutally repressed in a wave of state-sponsored repression and private landowner violence.","citation-key":"houtzagerStateUnionsTransformation1998","container-title":"Latin American Research Review","DOI":"10.1017/S0023879100038255","ISSN":"0023-8791, 1542-4278","issue":"2","language":"en","page":"103-142","source":"Cambridge University Press","title":"State and Unions in the Transformation of the Brazilian Countryside, 1964-1979","volume":"33","author":[{"family":"Houtzager","given":"Peter P."}],"issued":{"date-parts":[["1998",1]]}}}],"schema":"https://github.com/citation-style-language/schema/raw/master/csl-citation.json"} </w:instrText>
      </w:r>
      <w:r w:rsidR="00D37F55">
        <w:fldChar w:fldCharType="separate"/>
      </w:r>
      <w:r w:rsidR="00DF6BD6" w:rsidRPr="00DF6BD6">
        <w:rPr>
          <w:rFonts w:cs="Times New Roman"/>
        </w:rPr>
        <w:t>(Houtzager, 1998)</w:t>
      </w:r>
      <w:r w:rsidR="00D37F55">
        <w:fldChar w:fldCharType="end"/>
      </w:r>
      <w:r w:rsidR="007A02C0">
        <w:t xml:space="preserve">. Ao mesmo tempo, foi implementado um amplo plano de </w:t>
      </w:r>
      <w:r w:rsidR="007A02C0">
        <w:rPr>
          <w:i/>
          <w:iCs/>
        </w:rPr>
        <w:t>modernização conservadora</w:t>
      </w:r>
      <w:r w:rsidR="007A02C0">
        <w:t xml:space="preserve">, </w:t>
      </w:r>
      <w:r w:rsidR="00DC369E">
        <w:t/>
      </w:r>
      <w:r w:rsidR="00DC369E">
        <w:rPr>
          <w:i/>
          <w:iCs/>
        </w:rPr>
        <w:t>mediante</w:t>
      </w:r>
      <w:r w:rsidR="00DC369E">
        <w:t xml:space="preserve"> a difusão de um pacote tecnológico que resultou na concentração fundiária e na expulsão de numerosos pequenos produtores </w:t>
      </w:r>
      <w:r w:rsidR="00F855F9">
        <w:t/>
      </w:r>
      <w:r w:rsidR="000352B3">
        <w:t/>
      </w:r>
      <w:r w:rsidR="009B1BBE">
        <w:t/>
      </w:r>
      <w:r w:rsidR="00913A90">
        <w:fldChar w:fldCharType="begin"/>
      </w:r>
      <w:r w:rsidR="00003052">
        <w:instrText xml:space="preserve"> ADDIN ZOTERO_ITEM CSL_CITATION {"citationID":"0ALKGEt4","properties":{"formattedCitation":"(Martine, 1991)","plainCitation":"(Martine, 1991)","noteIndex":0},"citationItems":[{"id":14279,"uris":["http://zotero.org/users/10222123/items/VC6IMVJD"],"itemData":{"id":14279,"type":"article-journal","citation-key":"martineTrajetoriaModernizacaoAgricola1991","container-title":"Lua Nova: Revista de Cultura e Política","DOI":"https://doi.org/10.1590/S0102-64451991000100003","ISSN":"0102-6445, 1807-0175","journalAbbreviation":"Lua Nova","language":"pt","page":"7-37","publisher":"CEDEC","source":"SciELO","title":"A trajetória da modernização agrícola: a quem beneficia?","title-short":"A trajetória da modernização agrícola","author":[{"family":"Martine","given":"George"}],"issued":{"date-parts":[["1991"]]}}}],"schema":"https://github.com/citation-style-language/schema/raw/master/csl-citation.json"} </w:instrText>
      </w:r>
      <w:r w:rsidR="00913A90">
        <w:fldChar w:fldCharType="separate"/>
      </w:r>
      <w:r w:rsidR="00DF6BD6" w:rsidRPr="00DF6BD6">
        <w:rPr>
          <w:rFonts w:cs="Times New Roman"/>
        </w:rPr>
        <w:t>(Martine, 1991)</w:t>
      </w:r>
      <w:r w:rsidR="00913A90">
        <w:fldChar w:fldCharType="end"/>
      </w:r>
      <w:r w:rsidR="00913A90">
        <w:t xml:space="preserve">. Isso alimentou um rápido êxodo rural, sem que o emprego industrial absorvesse a força de trabalho disponibilizada pela explosão da população das grandes cidades, ao mesmo tempo que a ditadura multiplicava os ataques aos direitos trabalhistas </w:t>
      </w:r>
      <w:r w:rsidR="00C740C2">
        <w:t/>
      </w:r>
      <w:r w:rsidR="00D37F55">
        <w:t/>
      </w:r>
      <w:r w:rsidR="00C963CC">
        <w:t/>
      </w:r>
      <w:r w:rsidR="0027275E">
        <w:t/>
      </w:r>
      <w:r w:rsidR="00DD1863">
        <w:t/>
      </w:r>
      <w:r w:rsidR="000676FE">
        <w:t/>
      </w:r>
      <w:r w:rsidR="002279ED">
        <w:t/>
      </w:r>
      <w:r w:rsidR="000676FE">
        <w:t/>
      </w:r>
      <w:r w:rsidR="00923111">
        <w:t/>
      </w:r>
      <w:r w:rsidR="007E4D12">
        <w:t/>
      </w:r>
      <w:r w:rsidR="00823519">
        <w:t/>
      </w:r>
      <w:r w:rsidR="00143E53">
        <w:t/>
      </w:r>
      <w:r w:rsidR="00823519">
        <w:t/>
      </w:r>
      <w:r w:rsidR="00143E53">
        <w:t/>
      </w:r>
      <w:r w:rsidR="00971025">
        <w:t/>
      </w:r>
      <w:r w:rsidR="003762A7">
        <w:t/>
      </w:r>
      <w:r w:rsidR="00971025">
        <w:t/>
      </w:r>
      <w:r w:rsidR="00BC46D0">
        <w:fldChar w:fldCharType="begin"/>
      </w:r>
      <w:r w:rsidR="00003052">
        <w:instrText xml:space="preserve"> ADDIN ZOTERO_ITEM CSL_CITATION {"citationID":"Z8t8Os3m","properties":{"formattedCitation":"(Lara &amp; Silva, 2015)","plainCitation":"(Lara &amp; Silva, 2015)","noteIndex":0},"citationItems":[{"id":14275,"uris":["http://zotero.org/users/10222123/items/XZU75LAX"],"itemData":{"id":14275,"type":"article-journal","abstract":"O artigo apresenta abordagem sócio-histórica dos impactos da ditadura civil-militar nos direitos trabalhistas e sociais no Brasil. O declínio dos direitos sociais e o avanço do poder político e econômico das classes dominantes serão analisados de acordo com o contexto histórico, no qual se localizam três períodos nos últimos quarenta anos. Pretendemos demonstrar que a flexibilização e a degradação das condições de trabalho e vida dos trabalhadores foram reforçadas após o golpe civil-militar de 1964 e se estende até a atualidade, sendo extremamente funcional às necessidades da acumulação capitalista.","citation-key":"laraDitaduraCivilmilitar19642015","container-title":"Serviço Social &amp; Sociedade","DOI":"https://doi.org/10.1590/0101-6628.023","ISSN":"0101-6628, 2317-6318","journalAbbreviation":"Serv. Soc. Soc.","language":"pt","page":"275-293","publisher":"Cortez Editora Ltda","source":"SciELO","title":"A ditadura civil-militar de 1964: os impactos de longa duração nos direitos trabalhistas e sociais no Brasil","title-short":"A ditadura civil-militar de 1964","author":[{"family":"Lara","given":"Ricardo"},{"family":"Silva","given":"Mauri Antônio","dropping-particle":"da"}],"issued":{"date-parts":[["2015"]]}}}],"schema":"https://github.com/citation-style-language/schema/raw/master/csl-citation.json"} </w:instrText>
      </w:r>
      <w:r w:rsidR="00BC46D0">
        <w:fldChar w:fldCharType="separate"/>
      </w:r>
      <w:r w:rsidR="00DF6BD6" w:rsidRPr="00DF6BD6">
        <w:rPr>
          <w:rFonts w:cs="Times New Roman"/>
        </w:rPr>
        <w:t>(Lara &amp; Silva, 2015)</w:t>
      </w:r>
      <w:r w:rsidR="00BC46D0">
        <w:fldChar w:fldCharType="end"/>
      </w:r>
      <w:r w:rsidR="00BC46D0">
        <w:t xml:space="preserve">. Essa arquitetura institucional herdada, combinada com a abertura comercial e a liberalização dos anos 1990, levou a uma crise simultânea dos proletariados urbanos e dos pequenos produtores agrícolas dos ramos expostos à concorrência </w:t>
      </w:r>
      <w:r w:rsidR="008D7D45">
        <w:t/>
      </w:r>
      <w:r w:rsidR="00801ECE">
        <w:t/>
      </w:r>
      <w:r w:rsidR="00C63EBC">
        <w:t/>
      </w:r>
      <w:r w:rsidR="00801ECE">
        <w:t/>
      </w:r>
      <w:r w:rsidR="00C63EBC">
        <w:t/>
      </w:r>
      <w:r w:rsidR="007E2573">
        <w:t/>
      </w:r>
      <w:r w:rsidR="00D01872">
        <w:t/>
      </w:r>
      <w:r w:rsidR="003A6DE9">
        <w:t/>
      </w:r>
      <w:r w:rsidR="00936CAE">
        <w:t/>
      </w:r>
      <w:r w:rsidR="00146A05">
        <w:t/>
      </w:r>
      <w:r w:rsidR="00997E23">
        <w:t/>
      </w:r>
      <w:r w:rsidR="004D4D5D">
        <w:t/>
      </w:r>
      <w:r w:rsidR="00A229E2">
        <w:t/>
      </w:r>
      <w:r w:rsidR="00157D66">
        <w:t/>
      </w:r>
      <w:r w:rsidR="00412891">
        <w:fldChar w:fldCharType="begin"/>
      </w:r>
      <w:r w:rsidR="00003052">
        <w:instrText xml:space="preserve"> ADDIN ZOTERO_ITEM CSL_CITATION {"citationID":"cTIsIWkP","properties":{"formattedCitation":"(Helfand &amp; Castro De Rezende, 2001)","plainCitation":"(Helfand &amp; Castro De Rezende, 2001)","noteIndex":0},"citationItems":[{"id":14282,"uris":["http://zotero.org/users/10222123/items/FWYNAQQ6"],"itemData":{"id":14282,"type":"article-journal","citation-key":"helfandBrazilianAgriculture1990s2001","container-title":"SSRN Electronic Journal","DOI":"10.2139/ssrn.290262","ISSN":"1556-5068","journalAbbreviation":"SSRN Journal","language":"en","source":"DOI.org (Crossref)","title":"Brazilian Agriculture in the 1990s: Impact of the Policy Reforms","title-short":"Brazilian Agriculture in the 1990s","URL":"http://www.ssrn.com/abstract=290262","author":[{"family":"Helfand","given":"Steven M."},{"family":"Castro De Rezende","given":"Gervasio"}],"accessed":{"date-parts":[["2026",3,20]]},"issued":{"date-parts":[["2001"]]}}}],"schema":"https://github.com/citation-style-language/schema/raw/master/csl-citation.json"} </w:instrText>
      </w:r>
      <w:r w:rsidR="00412891">
        <w:fldChar w:fldCharType="separate"/>
      </w:r>
      <w:r w:rsidR="00DF6BD6" w:rsidRPr="00DF6BD6">
        <w:rPr>
          <w:rFonts w:cs="Times New Roman"/>
        </w:rPr>
        <w:t>(Helfand &amp; Castro De Rezende, 2001)</w:t>
      </w:r>
      <w:r w:rsidR="00412891">
        <w:fldChar w:fldCharType="end"/>
      </w:r>
      <w:r w:rsidR="00D703D3">
        <w:t xml:space="preserve">. Esse contexto condensou tensões antes mais dispersas e favoreceu alianças entre movimentos sociais, com primeiras vitórias como a criação de crédito rural destinado à agricultura familiar (PRONAF) e de programas sociais ligados à fome. Foi nesse terreno socioeconômico que Lula construiu uma estratégia política que combinava uma política macroeconômica conservadora e um reformismo social gradual, com forte componente dedicado às questões agrárias e alimentares </w:t>
      </w:r>
      <w:r w:rsidR="00A3535E">
        <w:t/>
      </w:r>
      <w:r w:rsidR="00967BBB">
        <w:t/>
      </w:r>
      <w:r w:rsidR="00C12082">
        <w:t/>
      </w:r>
      <w:r w:rsidR="00967BBB">
        <w:t/>
      </w:r>
      <w:r w:rsidR="00F21A91">
        <w:t/>
      </w:r>
      <w:r w:rsidR="002436C0">
        <w:t/>
      </w:r>
      <w:r w:rsidR="009D47BC">
        <w:t/>
      </w:r>
      <w:r w:rsidR="005C4EF8">
        <w:t/>
      </w:r>
      <w:r w:rsidR="00F95D82">
        <w:t/>
      </w:r>
      <w:r w:rsidR="001D6647">
        <w:t/>
      </w:r>
      <w:r w:rsidR="001C1415">
        <w:t/>
      </w:r>
      <w:r w:rsidR="006912FB">
        <w:t/>
      </w:r>
      <w:r w:rsidR="00AE15DA">
        <w:t/>
      </w:r>
      <w:r w:rsidR="00CB59C6">
        <w:t/>
      </w:r>
      <w:r w:rsidR="00721294">
        <w:t/>
      </w:r>
      <w:r w:rsidR="00396FAB">
        <w:t/>
      </w:r>
      <w:r w:rsidR="007168D6">
        <w:t/>
      </w:r>
      <w:r w:rsidR="00505A54">
        <w:t/>
      </w:r>
      <w:r w:rsidR="00560435">
        <w:t/>
      </w:r>
      <w:r w:rsidR="006F2097">
        <w:t/>
      </w:r>
      <w:r w:rsidR="004D3C07">
        <w:t/>
      </w:r>
      <w:r w:rsidR="00B91F50">
        <w:t/>
      </w:r>
      <w:r w:rsidR="004D3C07">
        <w:t/>
      </w:r>
      <w:r w:rsidR="00B91F50">
        <w:t/>
      </w:r>
      <w:r w:rsidR="00AF7891">
        <w:t/>
      </w:r>
      <w:r w:rsidR="00AF7891">
        <w:fldChar w:fldCharType="begin"/>
      </w:r>
      <w:r w:rsidR="00003052">
        <w:instrText xml:space="preserve"> ADDIN ZOTERO_ITEM CSL_CITATION {"citationID":"4VW2w0GW","properties":{"formattedCitation":"(Singer, 2009)","plainCitation":"(Singer, 2009)","noteIndex":0},"citationItems":[{"id":13069,"uris":["http://zotero.org/users/10222123/items/TWYS9VEA"],"itemData":{"id":13069,"type":"article-journal","abstract":"O artigo sugere hipóteses para compreender o realinhamento eleitoral que teria ocorrido em 2006. O subproletariado, que sempre se manteve distante de Lula, aderiu em bloco à sua candidatura depois do primeiro mandato, ao mesmo tempo em que a classe média se afastou dela. A explicação estaria em uma nova configuração ideológica, que mistura elementos de esquerda e de direita. O discurso e a prática, que unem manutenção da estabilidade e ação distributiva do Estado, encontram-se na raiz da formação do lulismo.","citation-key":"singerRaizesSociaisIdeologicas2009","container-title":"Novos estudos CEBRAP","DOI":"https://doi.org/10.1590/S0101-33002009000300004","ISSN":"0101-3300, 1980-5403","journalAbbreviation":"Novos estud. CEBRAP","language":"pt","page":"83-102","publisher":"Centro Brasileiro de Análise e Planejamento","source":"SciELO","title":"Raízes sociais e ideológicas do lulismo","author":[{"family":"Singer","given":"André"}],"issued":{"date-parts":[["2009"]]}}}],"schema":"https://github.com/citation-style-language/schema/raw/master/csl-citation.json"} </w:instrText>
      </w:r>
      <w:r w:rsidR="00AF7891">
        <w:fldChar w:fldCharType="separate"/>
      </w:r>
      <w:r w:rsidR="00DF6BD6" w:rsidRPr="00DF6BD6">
        <w:rPr>
          <w:rFonts w:cs="Times New Roman"/>
        </w:rPr>
        <w:t>(Singer, 2009)</w:t>
      </w:r>
      <w:r w:rsidR="00AF7891">
        <w:fldChar w:fldCharType="end"/>
      </w:r>
      <w:r w:rsidR="00AF7891">
        <w:t xml:space="preserve">. Essa estratégia permitiu que seu partido, o PT, agregasse amplo apoio popular e permanecesse no poder por 13 anos (2003-2016). Essa longevidade pode ser interpretada pela inclusão dos componentes camponeses e populares do movimento social em arenas de democracia participativa, dando-lhes acesso à produção de referenciais para a elaboração dos programas de proteção alimentar. No médio prazo, essas arenas prolongaram a sincronia inicial dos movimentos sociais no Brasil e certa relação de aliança e cogestão da política alimentar com o Executivo. Essa aliança de fato pode ser analisada como a estabilização de um bloco social </w:t>
      </w:r>
      <w:r w:rsidR="005D1A87">
        <w:t/>
      </w:r>
      <w:r w:rsidR="0062285A">
        <w:t/>
      </w:r>
      <w:r w:rsidR="00FA495C">
        <w:t/>
      </w:r>
      <w:r w:rsidR="00967462">
        <w:t/>
      </w:r>
      <w:r w:rsidR="00EC0BE7">
        <w:t/>
      </w:r>
      <w:r w:rsidR="007F0284">
        <w:t/>
      </w:r>
      <w:r w:rsidR="00DE3F53">
        <w:t/>
      </w:r>
      <w:r w:rsidR="00F93092">
        <w:t/>
      </w:r>
      <w:r w:rsidR="00B51EB7">
        <w:t/>
      </w:r>
      <w:r w:rsidR="00FC2290">
        <w:t/>
      </w:r>
      <w:r w:rsidR="00557F72">
        <w:t/>
      </w:r>
      <w:r w:rsidR="009B0CC3">
        <w:t/>
      </w:r>
      <w:r w:rsidR="001F5D86">
        <w:t/>
      </w:r>
      <w:r w:rsidR="00675C2E">
        <w:t/>
      </w:r>
      <w:r w:rsidR="00F521D6">
        <w:t/>
      </w:r>
      <w:r w:rsidR="00675C2E">
        <w:t/>
      </w:r>
      <w:r w:rsidR="00F521D6">
        <w:t/>
      </w:r>
      <w:r w:rsidR="009B0CC3">
        <w:t/>
      </w:r>
      <w:r w:rsidR="00466184">
        <w:t/>
      </w:r>
      <w:r w:rsidR="009B0CC3">
        <w:t/>
      </w:r>
      <w:r w:rsidR="000E4A6D">
        <w:t/>
      </w:r>
      <w:r w:rsidR="009B0CC3">
        <w:t/>
      </w:r>
      <w:r w:rsidR="00494CF0">
        <w:t/>
      </w:r>
      <w:r w:rsidR="001B07DC">
        <w:t/>
      </w:r>
      <w:r w:rsidR="00494CF0">
        <w:t/>
      </w:r>
      <w:r w:rsidR="00F04679">
        <w:t/>
      </w:r>
      <w:r w:rsidR="00A80906">
        <w:t/>
      </w:r>
      <w:r w:rsidR="00313163">
        <w:t/>
      </w:r>
      <w:r w:rsidR="005A199D">
        <w:t/>
      </w:r>
      <w:r w:rsidR="00E342AF">
        <w:t/>
      </w:r>
      <w:r w:rsidR="00044813">
        <w:t/>
      </w:r>
      <w:r w:rsidR="00E342AF">
        <w:t/>
      </w:r>
      <w:r w:rsidR="00390733">
        <w:t/>
      </w:r>
      <w:proofErr w:type="spellStart"/>
      <w:r w:rsidR="00390733">
        <w:rPr>
          <w:i/>
          <w:iCs/>
        </w:rPr>
        <w:t>lulista</w:t>
      </w:r>
      <w:proofErr w:type="spellEnd"/>
      <w:r w:rsidR="009C5E7A">
        <w:t xml:space="preserve"> </w:t>
      </w:r>
      <w:r w:rsidR="00D8197D">
        <w:fldChar w:fldCharType="begin"/>
      </w:r>
      <w:r w:rsidR="00511B07">
        <w:instrText xml:space="preserve"> ADDIN ZOTERO_ITEM CSL_CITATION {"citationID":"mz1eDXn8","properties":{"formattedCitation":"(Poupard, n.d.)","plainCitation":"(Poupard, n.d.)","noteIndex":0},"citationItems":[{"id":14201,"uris":["http://zotero.org/users/10222123/items/CGU6JK7J"],"itemData":{"id":14201,"type":"article-journal","citation-key":"poupardGrandeurDecadenceSysteme","title":"Grandeur et décadence du système national de protection sociale alimentaire brésilien : une relecture régulationniste","author":[{"family":"Poupard","given":"Adam"}]}}],"schema":"https://github.com/citation-style-language/schema/raw/master/csl-citation.json"} </w:instrText>
      </w:r>
      <w:r w:rsidR="00D8197D">
        <w:fldChar w:fldCharType="separate"/>
      </w:r>
      <w:r w:rsidR="00DF6BD6" w:rsidRPr="00DF6BD6">
        <w:rPr>
          <w:rFonts w:cs="Times New Roman"/>
        </w:rPr>
        <w:t xml:space="preserve">(Poupard, </w:t>
      </w:r>
      <w:proofErr w:type="spellStart"/>
      <w:r w:rsidR="00DF6BD6" w:rsidRPr="00DF6BD6">
        <w:rPr>
          <w:rFonts w:cs="Times New Roman"/>
        </w:rPr>
        <w:t>n.d</w:t>
      </w:r>
      <w:proofErr w:type="spellEnd"/>
      <w:r w:rsidR="00DF6BD6" w:rsidRPr="00DF6BD6">
        <w:rPr>
          <w:rFonts w:cs="Times New Roman"/>
        </w:rPr>
        <w:t>.)</w:t>
      </w:r>
      <w:r w:rsidR="00D8197D">
        <w:fldChar w:fldCharType="end"/>
      </w:r>
      <w:r w:rsidR="00313163">
        <w:t xml:space="preserve">. É preciso, contudo, ressaltar que a coexistência de um referencial dominante [PSA←E], imposto pelo </w:t>
      </w:r>
      <w:r w:rsidR="00A43A6E">
        <w:t/>
      </w:r>
      <w:r w:rsidR="00307520">
        <w:t/>
      </w:r>
      <w:r w:rsidR="00DF57B9">
        <w:t/>
      </w:r>
      <w:r w:rsidR="004A36B9">
        <w:t/>
      </w:r>
      <w:r w:rsidR="00114D0F">
        <w:t/>
      </w:r>
      <w:r w:rsidR="00FA6AEF">
        <w:t/>
      </w:r>
      <w:r w:rsidR="001C2463">
        <w:t/>
      </w:r>
      <w:r w:rsidR="001C2463" w:rsidRPr="00BE1697">
        <w:t/>
      </w:r>
      <w:r w:rsidR="001C2463">
        <w:t/>
      </w:r>
      <w:r w:rsidR="00FA6AEF">
        <w:t/>
      </w:r>
      <w:r w:rsidR="00543598">
        <w:t/>
      </w:r>
      <w:r w:rsidR="00543598">
        <w:rPr>
          <w:i/>
          <w:iCs/>
        </w:rPr>
        <w:t>agronegócio</w:t>
      </w:r>
      <w:r w:rsidR="00485EBA">
        <w:t xml:space="preserve">, e de um referencial concorrente de segurança alimentar e nutricional (polarização R-PSA-P) constitui um fator de conflitividade cujos sintomas reaparecem assim que o espaço da mediação política se reduz. Com efeito, a dominação política do </w:t>
      </w:r>
      <w:r w:rsidR="00F177E0">
        <w:t/>
      </w:r>
      <w:r w:rsidR="003E662C">
        <w:t/>
      </w:r>
      <w:r w:rsidR="00E74944">
        <w:t/>
      </w:r>
      <w:r w:rsidR="00D143D1">
        <w:t/>
      </w:r>
      <w:r w:rsidR="003E662C">
        <w:t/>
      </w:r>
      <w:r w:rsidR="00AE5828">
        <w:t/>
      </w:r>
      <w:r w:rsidR="003A7198">
        <w:t/>
      </w:r>
      <w:r w:rsidR="00ED3209">
        <w:t/>
      </w:r>
      <w:r w:rsidR="00F04852">
        <w:t/>
      </w:r>
      <w:r w:rsidR="00AB3513">
        <w:t/>
      </w:r>
      <w:r w:rsidR="00ED3209">
        <w:t/>
      </w:r>
      <w:r w:rsidR="0036722B">
        <w:t/>
      </w:r>
      <w:r w:rsidR="00865717">
        <w:t/>
      </w:r>
      <w:r w:rsidR="00483A42">
        <w:t/>
      </w:r>
      <w:r w:rsidR="00727B14">
        <w:t/>
      </w:r>
      <w:r w:rsidR="00C749CC">
        <w:t/>
      </w:r>
      <w:r w:rsidR="00C749CC">
        <w:rPr>
          <w:i/>
          <w:iCs/>
        </w:rPr>
        <w:t>agronegócio</w:t>
      </w:r>
      <w:r w:rsidR="00727B14">
        <w:t xml:space="preserve"> no espaço mesoeconômico agrícola traduz-se em acesso privilegiado aos recursos públicos. O compromisso e a emergência da política de segurança alimentar e nutricional só são possíveis pela expansão do espaço fiscal propiciada pela dinâmica macroeconômica favorável dos anos 2000. Quando o espaço fiscal volta a se reduzir, os interesses políticos do bloco dominante se fazem sentir, e a política social sofre as consequências. Foi o que ocorreu durante a crise brasileira de 2013, que culminou na destituição da presidenta do PT, Dilma Rousseff, impulsionada em especial pela frente parlamentar ruralista</w:t>
      </w:r>
      <w:r w:rsidR="006D47BB">
        <w:t/>
      </w:r>
      <w:proofErr w:type="spellStart"/>
      <w:r w:rsidR="006D47BB">
        <w:t/>
      </w:r>
      <w:proofErr w:type="spellEnd"/>
      <w:r w:rsidR="006D47BB">
        <w:t/>
      </w:r>
      <w:r w:rsidR="00A64712">
        <w:t/>
      </w:r>
      <w:proofErr w:type="spellStart"/>
      <w:r w:rsidR="00A64712">
        <w:t/>
      </w:r>
      <w:proofErr w:type="spellEnd"/>
      <w:r w:rsidR="00A64712">
        <w:t/>
      </w:r>
      <w:r w:rsidR="00EF1FF8">
        <w:t/>
      </w:r>
      <w:r w:rsidR="00164899">
        <w:t/>
      </w:r>
      <w:r w:rsidR="00AD1925">
        <w:t/>
      </w:r>
      <w:r w:rsidR="007317C0">
        <w:t/>
      </w:r>
      <w:r w:rsidR="00014D70">
        <w:t/>
      </w:r>
      <w:r w:rsidR="007871B2">
        <w:t/>
      </w:r>
      <w:r w:rsidR="006D47BB">
        <w:t/>
      </w:r>
      <w:r w:rsidR="00336516">
        <w:t/>
      </w:r>
      <w:r w:rsidR="00ED3209">
        <w:t/>
      </w:r>
      <w:r w:rsidR="00197BD1">
        <w:t/>
      </w:r>
      <w:r w:rsidR="00197BD1">
        <w:lastRenderedPageBreak/>
        <w:t/>
      </w:r>
      <w:r w:rsidR="00DC74F4">
        <w:t/>
      </w:r>
      <w:r w:rsidR="00283919">
        <w:t/>
      </w:r>
      <w:r w:rsidR="00DC74F4">
        <w:t/>
      </w:r>
      <w:r w:rsidR="00F40352">
        <w:t/>
      </w:r>
      <w:r w:rsidR="00283919">
        <w:t/>
      </w:r>
      <w:r w:rsidR="00F40352">
        <w:t/>
      </w:r>
      <w:r w:rsidR="00197BD1">
        <w:t/>
      </w:r>
      <w:r w:rsidR="00B47C21">
        <w:t/>
      </w:r>
      <w:r w:rsidR="00197BD1">
        <w:t/>
      </w:r>
      <w:r w:rsidR="00197BD1">
        <w:rPr>
          <w:i/>
          <w:iCs/>
        </w:rPr>
        <w:t>.</w:t>
      </w:r>
    </w:p>
    <w:p w14:paraId="6B1644B4" w14:textId="46C93DA0" w:rsidR="00967BBB" w:rsidRDefault="00967BBB" w:rsidP="00967BBB">
      <w:pPr>
        <w:jc w:val="both"/>
      </w:pPr>
      <w:r>
        <w:t xml:space="preserve">A França pós-fordista apresenta, ao contrário, uma assincronia duradoura entre as expectativas sociais alimentares e agrícolas. De um lado, o período fordista estabilizou, em linhas gerais, um regime de melhoria das rendas em geral e de produção de alimentos baratos; de outro, organizou uma modernização agrícola que combinava capitalização e proteção social </w:t>
      </w:r>
      <w:r w:rsidR="00660200">
        <w:t/>
      </w:r>
      <w:r>
        <w:t/>
      </w:r>
      <w:r w:rsidR="000D300A">
        <w:t/>
      </w:r>
      <w:r w:rsidR="00A12C96">
        <w:t/>
      </w:r>
      <w:r w:rsidR="00DC46E6">
        <w:t/>
      </w:r>
      <w:r w:rsidR="000D27D7">
        <w:t/>
      </w:r>
      <w:r w:rsidR="00DC46E6">
        <w:t/>
      </w:r>
      <w:r w:rsidR="003349CD">
        <w:t/>
      </w:r>
      <w:r w:rsidR="00117928">
        <w:t/>
      </w:r>
      <w:r w:rsidR="00C02223">
        <w:t/>
      </w:r>
      <w:r w:rsidR="00DE420B">
        <w:t/>
      </w:r>
      <w:r w:rsidR="00872385">
        <w:t/>
      </w:r>
      <w:r w:rsidR="00DE420B">
        <w:t/>
      </w:r>
      <w:r w:rsidR="00FC269C">
        <w:t/>
      </w:r>
      <w:r w:rsidR="00DE420B">
        <w:t/>
      </w:r>
      <w:r w:rsidR="00211A8E">
        <w:t/>
      </w:r>
      <w:r w:rsidR="00DE420B">
        <w:t/>
      </w:r>
      <w:r w:rsidR="00FC269C">
        <w:t/>
      </w:r>
      <w:r w:rsidR="00E312EF">
        <w:t/>
      </w:r>
      <w:r w:rsidR="00E312EF">
        <w:rPr>
          <w:i/>
          <w:iCs/>
        </w:rPr>
        <w:t>ad hoc</w:t>
      </w:r>
      <w:r w:rsidR="00E13AD2">
        <w:t xml:space="preserve">, cogestada desde os anos 1960 pelo Executivo e pelos representantes patronais da categoria </w:t>
      </w:r>
      <w:r w:rsidR="00F236C1">
        <w:t/>
      </w:r>
      <w:r w:rsidR="00E13AD2">
        <w:t/>
      </w:r>
      <w:r w:rsidR="008073D2">
        <w:t/>
      </w:r>
      <w:r w:rsidR="003C5C82">
        <w:fldChar w:fldCharType="begin"/>
      </w:r>
      <w:r w:rsidR="00003052">
        <w:instrText xml:space="preserve"> ADDIN ZOTERO_ITEM CSL_CITATION {"citationID":"Zsgc4L8T","properties":{"formattedCitation":"(Allaire, 1988)","plainCitation":"(Allaire, 1988)","noteIndex":0},"citationItems":[{"id":5743,"uris":["http://zotero.org/users/10222123/items/Y5MDJMAD"],"itemData":{"id":5743,"type":"article-journal","abstract":"La modernisation d'Après-Guerre, durant les Trente Glorieuses, prend place dans un régime de croissance dont la description est reprise des approches économiques de la période en termes de « régulation ». Problématique et méthodologie « régulationnistes » sont convoquées pour « revisiter » des thèses d'économie rurale sur cette agriculture de croissance et proposer un ensemble méthodologique et conceptuel, autour de la notion de « modèle de développement », tentant de rendre compte de la dynamique générale des formes de production et de travail agricoles et de leurs ambivalences. Ainsi sont mis en évidence un régime « d'accumulation forcée » et des « formes de régulation » des systèmes productifs, des carrières et des identités professionnelles.","citation-key":"allaireModeleDeveloppementAgricole1988","DOI":"10.3406/ecoru.1988.3908","language":"fre","license":"free","publisher":"Persée - Portail des revues scientifiques en SHS","source":"www.persee.fr","title":"Le modèle de développement agricole des années 1960","URL":"https://www.persee.fr/doc/ecoru_0013-0559_1988_num_184_1_3908","author":[{"family":"Allaire","given":"Gilles"}],"accessed":{"date-parts":[["2024",12,15]]},"issued":{"date-parts":[["1988"]]}}}],"schema":"https://github.com/citation-style-language/schema/raw/master/csl-citation.json"} </w:instrText>
      </w:r>
      <w:r w:rsidR="003C5C82">
        <w:fldChar w:fldCharType="separate"/>
      </w:r>
      <w:r w:rsidR="00DF6BD6" w:rsidRPr="00DF6BD6">
        <w:rPr>
          <w:rFonts w:cs="Times New Roman"/>
        </w:rPr>
        <w:t>(Allaire, 1988)</w:t>
      </w:r>
      <w:r w:rsidR="003C5C82">
        <w:fldChar w:fldCharType="end"/>
      </w:r>
      <w:r w:rsidR="00257995">
        <w:t xml:space="preserve">. A questão alimentar só retornaria após a crise do fordismo, e o referencial das políticas públicas de ajuda permaneceria duradouramente marginalizado, delegado a associações e tratado como puramente assistencial </w:t>
      </w:r>
      <w:r w:rsidR="003C5C82">
        <w:t/>
      </w:r>
      <w:r w:rsidR="00FF04AD">
        <w:t/>
      </w:r>
      <w:r w:rsidR="003C5C82">
        <w:t/>
      </w:r>
      <w:r w:rsidR="00ED6C38">
        <w:t/>
      </w:r>
      <w:r w:rsidR="00B9132F">
        <w:t/>
      </w:r>
      <w:r w:rsidR="0040070A">
        <w:t/>
      </w:r>
      <w:r w:rsidR="00275540">
        <w:fldChar w:fldCharType="begin"/>
      </w:r>
      <w:r w:rsidR="00511B07">
        <w:instrText xml:space="preserve"> ADDIN ZOTERO_ITEM CSL_CITATION {"citationID":"Yj6rUynR","properties":{"formattedCitation":"(Reti\\uc0\\u232{}re, 2021)","plainCitation":"(Retière, 2021)","noteIndex":0},"citationItems":[{"id":14129,"uris":["http://zotero.org/users/10222123/items/QMN99X8E"],"itemData":{"id":14129,"type":"article-journal","citation-key":"retiereNourrirPauvresQuatre2021","container-title":"Vie sociale","DOI":"10.3917/vsoc.214.0023","ISSN":"0042-5605","issue":"4","language":"fr","page":"23-35","publisher":"érès","section":"Science politique","source":"shs.cairn.info","title":"Nourrir les pauvres : les quatre âges de l’aide alimentaire","title-short":"Nourrir les pauvres","volume":"36","author":[{"family":"Retière","given":"Jean-Noël"}],"issued":{"date-parts":[["2021"]]}}}],"schema":"https://github.com/citation-style-language/schema/raw/master/csl-citation.json"} </w:instrText>
      </w:r>
      <w:r w:rsidR="00275540">
        <w:fldChar w:fldCharType="separate"/>
      </w:r>
      <w:r w:rsidR="00DF6BD6" w:rsidRPr="00DF6BD6">
        <w:rPr>
          <w:rFonts w:cs="Times New Roman"/>
          <w:kern w:val="0"/>
        </w:rPr>
        <w:t>(Retière, 2021)</w:t>
      </w:r>
      <w:r w:rsidR="00275540">
        <w:fldChar w:fldCharType="end"/>
      </w:r>
      <w:r w:rsidR="00275540">
        <w:t>. Essa assincronia entre o desenvolvimento do trabalho assalariado e de sua proteção social, de um lado, e o desenvolvimento da profissão de agricultor-empresário, de outro, favoreceu uma assincronia das crises regulares enfrentadas por esses dois mundos. Apesar do retorno da questão camponesa nos anos 1970, não surgiu nenhuma aliança de grande amplitude entre movimentos sociais camponeses e classes populares. Essa assincronia histórica entre movimentos rurais e urbanos na França, combinada à extrema marginalização do trabalho agrícola assalariado, não reuniu, até hoje, as condições para a construção de uma estratégia política capaz de acessar a produção de referenciais e de políticas públicas.</w:t>
      </w:r>
      <w:r w:rsidR="0056120E">
        <w:t/>
      </w:r>
      <w:r w:rsidR="00481CCE">
        <w:t/>
      </w:r>
      <w:r w:rsidR="006C0C6F">
        <w:t/>
      </w:r>
      <w:r w:rsidR="0029489E">
        <w:t/>
      </w:r>
      <w:r w:rsidR="006C0C6F">
        <w:t/>
      </w:r>
      <w:r w:rsidR="00D23C9A">
        <w:t/>
      </w:r>
      <w:r w:rsidR="00085D71">
        <w:t/>
      </w:r>
      <w:r w:rsidR="001B5C77">
        <w:t/>
      </w:r>
      <w:r w:rsidR="007B4455">
        <w:t/>
      </w:r>
      <w:r w:rsidR="00324EFC">
        <w:t/>
      </w:r>
      <w:r w:rsidR="007B4455">
        <w:t/>
      </w:r>
      <w:r w:rsidR="007C4A99">
        <w:t/>
      </w:r>
      <w:r w:rsidR="00985EFC">
        <w:t/>
      </w:r>
      <w:r w:rsidR="00563397">
        <w:t/>
      </w:r>
      <w:r w:rsidR="00831CB6">
        <w:t/>
      </w:r>
      <w:r w:rsidR="00427D04">
        <w:t/>
      </w:r>
      <w:r w:rsidR="00831CB6">
        <w:t/>
      </w:r>
      <w:r w:rsidR="00442A3A">
        <w:t/>
      </w:r>
      <w:r w:rsidR="009E426C">
        <w:t/>
      </w:r>
      <w:r w:rsidR="00CB1C7D">
        <w:t/>
      </w:r>
      <w:r w:rsidR="0031292F">
        <w:t/>
      </w:r>
      <w:r w:rsidR="002270F6">
        <w:t/>
      </w:r>
      <w:r w:rsidR="00AE5F81">
        <w:t/>
      </w:r>
      <w:r w:rsidR="00B446B2">
        <w:t/>
      </w:r>
      <w:r w:rsidR="00D0274D">
        <w:t/>
      </w:r>
    </w:p>
    <w:p w14:paraId="44D6C5F2" w14:textId="3011219B" w:rsidR="005267B5" w:rsidRDefault="00FA0870" w:rsidP="0064468E">
      <w:pPr>
        <w:pStyle w:val="Titre2"/>
      </w:pPr>
      <w:r>
        <w:t>Conclusão</w:t>
      </w:r>
    </w:p>
    <w:p w14:paraId="5B4AD38C" w14:textId="3A279996" w:rsidR="00141F64" w:rsidRDefault="00217E12" w:rsidP="00A552E8">
      <w:pPr>
        <w:jc w:val="both"/>
      </w:pPr>
      <w:r>
        <w:t>A situação francesa pode ser analisada como uma verdadeira crise da reprodução no registro alimentar. Seus indícios são uma proletarização combinada das classes populares e de parte da agricultura. De um lado, embora a explosão do recurso à ajuda alimentar nos últimos dez anos seja regularmente interpretada sob o ângulo da precarização</w:t>
      </w:r>
      <w:r w:rsidR="00CA7634">
        <w:t/>
      </w:r>
      <w:r w:rsidR="00FB3256">
        <w:t/>
      </w:r>
      <w:r w:rsidR="0025522A">
        <w:t/>
      </w:r>
      <w:r w:rsidR="008D3252">
        <w:t/>
      </w:r>
      <w:r w:rsidR="003F0007">
        <w:t/>
      </w:r>
      <w:r w:rsidR="00DE6CC3">
        <w:t/>
      </w:r>
      <w:r w:rsidR="003F0007">
        <w:t/>
      </w:r>
      <w:r w:rsidR="00CB1378">
        <w:t/>
      </w:r>
      <w:r w:rsidR="00FF5E70">
        <w:t/>
      </w:r>
      <w:r w:rsidR="005A41A5">
        <w:t/>
      </w:r>
      <w:r w:rsidR="008A5EA9">
        <w:t/>
      </w:r>
      <w:r w:rsidR="005A41A5">
        <w:t/>
      </w:r>
      <w:r w:rsidR="00E71E2A" w:rsidRPr="00483230">
        <w:rPr>
          <w:rStyle w:val="Appelnotedebasdep"/>
        </w:rPr>
        <w:footnoteReference w:id="11"/>
      </w:r>
      <w:r w:rsidR="005A41A5">
        <w:t xml:space="preserve">, ela pode ser vista como uma proletarização aprofundada. Com efeito, a perda de autonomia econômica ligada à desaceleração econômica, ao baixo crescimento dos salários e ao desemprego persistente, bem como os gastos incompressíveis nos outros campos do consumo, levam a considerar a alimentação como variável de ajuste de última instância e, portanto, a renunciar à aquisição, pelo mercado, de uma alimentação saudável e adequada </w:t>
      </w:r>
      <w:r w:rsidR="00E2122B">
        <w:t/>
      </w:r>
      <w:r w:rsidR="00965802">
        <w:t/>
      </w:r>
      <w:r w:rsidR="00E2122B">
        <w:t/>
      </w:r>
      <w:r w:rsidR="00CF2D79">
        <w:t/>
      </w:r>
      <w:r w:rsidR="00713251">
        <w:t/>
      </w:r>
      <w:r w:rsidR="00DC7F60">
        <w:t/>
      </w:r>
      <w:r w:rsidR="00913FEC">
        <w:t/>
      </w:r>
      <w:r w:rsidR="00DC7F60">
        <w:t/>
      </w:r>
      <w:r w:rsidR="00713251">
        <w:t/>
      </w:r>
      <w:r w:rsidR="00F84A99">
        <w:t/>
      </w:r>
      <w:r w:rsidR="008D3A7C">
        <w:t/>
      </w:r>
      <w:r w:rsidR="00BB630C">
        <w:t/>
      </w:r>
      <w:r w:rsidR="00812A58">
        <w:t/>
      </w:r>
      <w:r w:rsidR="00830EEF">
        <w:t/>
      </w:r>
      <w:r w:rsidR="00DC7F60">
        <w:fldChar w:fldCharType="begin"/>
      </w:r>
      <w:r w:rsidR="00DC7F60">
        <w:instrText xml:space="preserve"> ADDIN ZOTERO_ITEM CSL_CITATION {"citationID":"q3vV0ncL","properties":{"formattedCitation":"(Paturel, 2018)","plainCitation":"(Paturel, 2018)","noteIndex":0},"citationItems":[{"id":14131,"uris":["http://zotero.org/users/10222123/items/6J5KPWZT"],"itemData":{"id":14131,"type":"article-journal","citation-key":"paturelFautilContinuerNourrir2018","container-title":"Le Sociographe","DOI":"10.3917/graph.062.0013","ISSN":"1297-6628","issue":"2","journalAbbreviation":"Sociographe","language":"fr","page":"13-22","publisher":"Champ social","section":"Sociologie","source":"shs.cairn.info","title":"Faut-il continuer à nourrir les pauvres ?:L’accès à une alimentation de qualité comme enjeu démocratique pour le travail social","title-short":"Faut-il continuer à nourrir les pauvres ?","volume":"62","author":[{"family":"Paturel","given":"Dominique"}],"issued":{"date-parts":[["2018",5,22]]}}}],"schema":"https://github.com/citation-style-language/schema/raw/master/csl-citation.json"} </w:instrText>
      </w:r>
      <w:r w:rsidR="00DC7F60">
        <w:fldChar w:fldCharType="separate"/>
      </w:r>
      <w:r w:rsidR="00DC7F60" w:rsidRPr="00DC7F60">
        <w:rPr>
          <w:rFonts w:cs="Times New Roman"/>
        </w:rPr>
        <w:t>(Paturel, 2018)</w:t>
      </w:r>
      <w:r w:rsidR="00DC7F60">
        <w:fldChar w:fldCharType="end"/>
      </w:r>
      <w:r w:rsidR="00812A58">
        <w:t xml:space="preserve">. No lado da agricultura, dois sintomas marcantes revelam uma proletarização que ainda precisa ser estudada e definida em detalhe. Em primeiro lugar, o emprego assalariado não familiar, marcado por condições muito precárias, cresce e deverá tornar-se a forma majoritária de trabalho no setor agrícola nos próximos anos. Em segundo lugar, aprofunda-se um abismo entre os agricultores vencedores da globalização e dos tratados de livre-comércio e os perdedores. Esse abismo se cristaliza no enfraquecimento do sindicalismo majoritário nas últimas eleições profissionais. Essa sincronia excepcional das crises da reprodução no pós-Covid constitui uma janela política para a construção de novas estratégias políticas. É sem dúvida isso que explica o sucesso das tentativas de politização conjunta da fome e da agricultura. A SSA constitui uma dessas tentativas, embora a inclusão das classes populares nos experimentos de classe ainda seja incipiente. Diante de leituras homogeneizantes do mundo rural, ainda é preciso apreender corretamente as relações de classe que atravessam o mundo rural para pensar os possíveis espaços de aliança </w:t>
      </w:r>
      <w:r w:rsidR="005E0E80">
        <w:t/>
      </w:r>
      <w:r w:rsidR="00FA5003">
        <w:t/>
      </w:r>
      <w:r w:rsidR="005060B2">
        <w:t/>
      </w:r>
      <w:r w:rsidR="00A224F4">
        <w:t/>
      </w:r>
      <w:r w:rsidR="005060B2">
        <w:t/>
      </w:r>
      <w:r w:rsidR="005566A3">
        <w:t/>
      </w:r>
      <w:r w:rsidR="006308FE">
        <w:t/>
      </w:r>
      <w:r w:rsidR="004624FD">
        <w:t/>
      </w:r>
      <w:r w:rsidR="005E0E80">
        <w:t/>
      </w:r>
      <w:r w:rsidR="00B850D6">
        <w:t/>
      </w:r>
      <w:r w:rsidR="002E06FA">
        <w:t/>
      </w:r>
      <w:r w:rsidR="003D50DB">
        <w:t/>
      </w:r>
      <w:r w:rsidR="00BE466D">
        <w:t/>
      </w:r>
      <w:r w:rsidR="003D50DB">
        <w:t/>
      </w:r>
      <w:r w:rsidR="00BE466D">
        <w:t/>
      </w:r>
      <w:r w:rsidR="00A70C1C">
        <w:t/>
      </w:r>
      <w:r w:rsidR="009B74EE">
        <w:t/>
      </w:r>
      <w:r w:rsidR="002B6EC8">
        <w:t/>
      </w:r>
      <w:r w:rsidR="009B74EE">
        <w:t/>
      </w:r>
      <w:r w:rsidR="00FD60D4">
        <w:t/>
      </w:r>
      <w:r w:rsidR="0011160D">
        <w:t/>
      </w:r>
      <w:r w:rsidR="004D6EEF">
        <w:t/>
      </w:r>
      <w:r w:rsidR="00101937">
        <w:t/>
      </w:r>
      <w:r w:rsidR="00EE11EF">
        <w:t/>
      </w:r>
      <w:r w:rsidR="00101937">
        <w:t/>
      </w:r>
      <w:r w:rsidR="00606CB2">
        <w:t/>
      </w:r>
      <w:r w:rsidR="00FE2D8C">
        <w:t/>
      </w:r>
      <w:r w:rsidR="00606CB2">
        <w:t/>
      </w:r>
      <w:r w:rsidR="00F71110">
        <w:t/>
      </w:r>
      <w:r w:rsidR="00606CB2">
        <w:t/>
      </w:r>
      <w:r w:rsidR="00F71110">
        <w:t/>
      </w:r>
      <w:r w:rsidR="00822183">
        <w:t/>
      </w:r>
      <w:r w:rsidR="00666C37">
        <w:t/>
      </w:r>
      <w:r w:rsidR="00822183">
        <w:t/>
      </w:r>
      <w:r w:rsidR="005A314E">
        <w:t/>
      </w:r>
      <w:r w:rsidR="00E71A95">
        <w:t/>
      </w:r>
      <w:r w:rsidR="005A314E">
        <w:t/>
      </w:r>
      <w:r w:rsidR="008F16B6">
        <w:t/>
      </w:r>
      <w:r w:rsidR="00732E69">
        <w:t/>
      </w:r>
      <w:r w:rsidR="00871880">
        <w:t/>
      </w:r>
      <w:r w:rsidR="003F508F">
        <w:t/>
      </w:r>
      <w:r w:rsidR="003F508F">
        <w:lastRenderedPageBreak/>
        <w:t/>
      </w:r>
      <w:r w:rsidR="00221303">
        <w:t/>
      </w:r>
      <w:r w:rsidR="003F508F">
        <w:t/>
      </w:r>
      <w:r w:rsidR="006B0058">
        <w:t/>
      </w:r>
      <w:r w:rsidR="004D1FD4">
        <w:t/>
      </w:r>
      <w:r w:rsidR="00767390">
        <w:t/>
      </w:r>
      <w:r w:rsidR="00365B1A">
        <w:t/>
      </w:r>
      <w:r w:rsidR="00F83DD1">
        <w:t/>
      </w:r>
      <w:r w:rsidR="00255717">
        <w:fldChar w:fldCharType="begin"/>
      </w:r>
      <w:r w:rsidR="00255717">
        <w:instrText xml:space="preserve"> ADDIN ZOTERO_ITEM CSL_CITATION {"citationID":"M1t6g8S0","properties":{"formattedCitation":"(Bernstein, 2010)","plainCitation":"(Bernstein, 2010)","noteIndex":0},"citationItems":[{"id":5918,"uris":["http://zotero.org/users/10222123/items/YY7P6RCY"],"itemData":{"id":5918,"type":"book","abstract":"Development processes are never neutral. They impact various groups and classes of people differently. A high food price may benefit some rich peasants who produce and sell food surplus, but it may disadvantage landless rural laborers. A project on irrigation may benefit those who own the land, but not the landless tenants. Nowadays, official documents by governments and development agencies tend to lump different groups of people into vague categories like \"rural poor\". This might be useful in some cases, but in large part this thinking can harm the poorest of the poor. Using Marx's theory of capitalism, Class Dynamics of Agrarian Change argues that class dynamics should be the starting point of any analysis of agrarian change. It provides an accessible introduction to agrarian political economy while showing clearly how the argument for \"bringing class back in\" provides an alternative to inherited conceptions of the agrarian question. It illustrates what is at stake in different ways of thinking about class dynamics and the effects of agrarian change in today's globalized world.","citation-key":"bernsteinClassDynamicsAgrarian2010","ISBN":"978-1-56549-356-8","language":"Anglais","number-of-pages":"160","publisher":"Kumarian Press","publisher-place":"Halifax, N.S. : Sterling, VA","source":"Amazon","title":"Class Dynamics of Agrarian Change","author":[{"family":"Bernstein","given":"Henry"}],"issued":{"date-parts":[["2010",8,30]]}}}],"schema":"https://github.com/citation-style-language/schema/raw/master/csl-citation.json"} </w:instrText>
      </w:r>
      <w:r w:rsidR="00255717">
        <w:fldChar w:fldCharType="separate"/>
      </w:r>
      <w:r w:rsidR="00255717" w:rsidRPr="00255717">
        <w:rPr>
          <w:rFonts w:cs="Times New Roman"/>
        </w:rPr>
        <w:t>(Bernstein, 2010)</w:t>
      </w:r>
      <w:r w:rsidR="00255717">
        <w:fldChar w:fldCharType="end"/>
      </w:r>
      <w:r w:rsidR="00767390">
        <w:t>.</w:t>
      </w:r>
    </w:p>
    <w:p w14:paraId="5CD41A1F" w14:textId="459F74B2" w:rsidR="005267B5" w:rsidRDefault="003157AC" w:rsidP="00967BBB">
      <w:pPr>
        <w:jc w:val="both"/>
      </w:pPr>
      <w:r>
        <w:t xml:space="preserve">Um segundo eixo ainda a explorar é o da dialética entre as iniciativas locais e o SNPSA. A política brasileira é historicamente muito mais descentralizada </w:t>
      </w:r>
      <w:r w:rsidR="004E123A">
        <w:t/>
      </w:r>
      <w:r w:rsidR="00457C64">
        <w:t/>
      </w:r>
      <w:r w:rsidR="00E523C3">
        <w:t/>
      </w:r>
      <w:r w:rsidR="00457C64">
        <w:t/>
      </w:r>
      <w:r w:rsidR="00915C6F">
        <w:t/>
      </w:r>
      <w:r w:rsidR="00850063">
        <w:fldChar w:fldCharType="begin"/>
      </w:r>
      <w:r w:rsidR="00850063">
        <w:instrText xml:space="preserve"> ADDIN ZOTERO_ITEM CSL_CITATION {"citationID":"3WXW1Czh","properties":{"formattedCitation":"(Bizberg &amp; Th\\uc0\\u233{}ret, 2012)","plainCitation":"(Bizberg &amp; Théret, 2012)","noteIndex":0},"citationItems":[{"id":11401,"uris":["http://zotero.org/users/10222123/items/PVYQEBRB"],"itemData":{"id":11401,"type":"article-journal","abstract":"Cet article prolonge des travaux antérieurs sur l’effet de la diversité des configurations institutionnelles sur les trajectoires récentes de développement économique en Argentine, au Brésil et au Mexique. La première partie est consacrée à la caractérisation et aux transformations des coalitions socio-politiques dominantes dans les trois pays. Les deux parties suivantes examinent l’empreinte de ces coalitions socio-politiques dans les trois domaines relativement autonomes que sont les relations de travail, les systèmes monétaire et financier, et la structure organisationnelle de l’État. La conclusion s’attache à montrer que les différences observées dans les degrés d’autonomie de l’État et les forces organisatrices des syndicats et des entrepreneurs définissent différent modèles économiques et formes d’insertion dans l’économie internationale, qui permettent de parler d’une diversité des capitalismes propres à l’Amérique latine.","citation-key":"bizbergDiversiteCapitalismesLatinoamericains2012","container-title":"Revue de la régulation. Capitalisme, institutions, pouvoirs","DOI":"10.4000/regulation.9658","ISSN":"1957-7796","issue":"11","language":"fr","license":"https://creativecommons.org/licenses/by-nc-nd/4.0/","note":"number: 11","publisher":"Association Recherche &amp; Régulation","source":"journals.openedition.org","title":"La diversité des capitalismes latino-américains : les cas de l’Argentine, du Brésil et du Mexique","title-short":"La diversité des capitalismes latino-américains","URL":"https://journals.openedition.org/regulation/9658","author":[{"family":"Bizberg","given":"Ilán"},{"family":"Théret","given":"Bruno"}],"accessed":{"date-parts":[["2025",3,7]]},"issued":{"date-parts":[["2012",4,25]]}}}],"schema":"https://github.com/citation-style-language/schema/raw/master/csl-citation.json"} </w:instrText>
      </w:r>
      <w:r w:rsidR="00850063">
        <w:fldChar w:fldCharType="separate"/>
      </w:r>
      <w:r w:rsidR="00850063" w:rsidRPr="00850063">
        <w:rPr>
          <w:rFonts w:cs="Times New Roman"/>
          <w:kern w:val="0"/>
        </w:rPr>
        <w:t>(Bizberg &amp; Théret, 2012)</w:t>
      </w:r>
      <w:r w:rsidR="00850063">
        <w:fldChar w:fldCharType="end"/>
      </w:r>
      <w:r w:rsidR="00850063">
        <w:t xml:space="preserve"> do que a política francesa. A reconsolidação do </w:t>
      </w:r>
      <w:r w:rsidR="00915C6F">
        <w:t/>
      </w:r>
      <w:r w:rsidR="005970B9">
        <w:rPr>
          <w:rFonts w:cs="Times New Roman"/>
        </w:rPr>
        <w:t>Estado</w:t>
      </w:r>
      <w:r w:rsidR="00915C6F">
        <w:t xml:space="preserve"> sob Lula ocorre </w:t>
      </w:r>
      <w:r w:rsidR="00915C6F" w:rsidRPr="00775ACF">
        <w:rPr>
          <w:i/>
          <w:iCs/>
        </w:rPr>
        <w:t xml:space="preserve">por meio de </w:t>
      </w:r>
      <w:r w:rsidR="00915C6F">
        <w:t xml:space="preserve">uma dialética local-federal que favorece a participação nos programas sociais e, portanto, integra dimensões mais emancipadoras </w:t>
      </w:r>
      <w:r w:rsidR="00D541B5">
        <w:t/>
      </w:r>
      <w:r w:rsidR="006467A7">
        <w:t/>
      </w:r>
      <w:r w:rsidR="001D26C2">
        <w:t/>
      </w:r>
      <w:r w:rsidR="00821D9D">
        <w:fldChar w:fldCharType="begin"/>
      </w:r>
      <w:r w:rsidR="00821D9D">
        <w:instrText xml:space="preserve"> ADDIN ZOTERO_ITEM CSL_CITATION {"citationID":"4LStSM5r","properties":{"formattedCitation":"(Fraser, 2013)","plainCitation":"(Fraser, 2013)","noteIndex":0},"citationItems":[{"id":13239,"uris":["http://zotero.org/users/10222123/items/4SC332UX"],"itemData":{"id":13239,"type":"article-journal","abstract":"Why has the global economic crisis yet to produce programmatic alternatives for social transformation? Nancy Fraser argues that present struggles fall within an ambiguous triangle formed by the forces of commodification, social protection and emancipation.","citation-key":"fraserTripleMovement2013","container-title":"New Left Review","issue":"81","journalAbbreviation":"New Left Rev","page":"119-132","source":"New Left Review","title":"A Triple Movement?","author":[{"family":"Fraser","given":"Nancy"}],"issued":{"date-parts":[["2013",6,1]]}}}],"schema":"https://github.com/citation-style-language/schema/raw/master/csl-citation.json"} </w:instrText>
      </w:r>
      <w:r w:rsidR="00821D9D">
        <w:fldChar w:fldCharType="separate"/>
      </w:r>
      <w:r w:rsidR="00821D9D" w:rsidRPr="00821D9D">
        <w:rPr>
          <w:rFonts w:cs="Times New Roman"/>
        </w:rPr>
        <w:t>(Fraser, 2013)</w:t>
      </w:r>
      <w:r w:rsidR="00821D9D">
        <w:fldChar w:fldCharType="end"/>
      </w:r>
      <w:r w:rsidR="006467A7">
        <w:t xml:space="preserve">. Isso se traduz na governança do SNPSA, que herdou um conselho de democracia participativa típico da política </w:t>
      </w:r>
      <w:r w:rsidR="000C1422">
        <w:t/>
      </w:r>
      <w:r w:rsidR="00910838">
        <w:t/>
      </w:r>
      <w:r w:rsidR="00DE3F48">
        <w:t/>
      </w:r>
      <w:r w:rsidR="009111B9">
        <w:t/>
      </w:r>
      <w:r w:rsidR="00DE3F48">
        <w:t/>
      </w:r>
      <w:r w:rsidR="00237D35">
        <w:t/>
      </w:r>
      <w:r w:rsidR="00DA63AC">
        <w:t/>
      </w:r>
      <w:r w:rsidR="008D5B90">
        <w:t/>
      </w:r>
      <w:proofErr w:type="spellStart"/>
      <w:r w:rsidR="008D5B90" w:rsidRPr="008D5B90">
        <w:rPr>
          <w:i/>
          <w:iCs/>
        </w:rPr>
        <w:t>lulista</w:t>
      </w:r>
      <w:proofErr w:type="spellEnd"/>
      <w:r w:rsidR="008D5B90">
        <w:t xml:space="preserve">, o Consea. Este é composto em grande parte por membros da sociedade civil, que podem traduzir seus interesses políticos em referenciais de ação pública </w:t>
      </w:r>
      <w:proofErr w:type="spellStart"/>
      <w:r w:rsidR="008D5B90">
        <w:t/>
      </w:r>
      <w:proofErr w:type="spellEnd"/>
      <w:r w:rsidR="008D5B90">
        <w:t/>
      </w:r>
      <w:r w:rsidR="0006645C">
        <w:t/>
      </w:r>
      <w:r w:rsidR="0085424D">
        <w:t/>
      </w:r>
      <w:r w:rsidR="00233C41">
        <w:t/>
      </w:r>
      <w:r w:rsidR="00E50354">
        <w:t/>
      </w:r>
      <w:r w:rsidR="00E50354">
        <w:rPr>
          <w:i/>
          <w:iCs/>
        </w:rPr>
        <w:t>por meio de</w:t>
      </w:r>
      <w:r w:rsidR="00E50354">
        <w:t xml:space="preserve"> jogos de coalizões. Atualmente, na França, as caixas locais enfrentam dificuldades de financiamento, do qual participam coletividades territoriais, contribuintes das caixas e outros financiadores oriundos da filantropia privada </w:t>
      </w:r>
      <w:r w:rsidR="00915C6F">
        <w:t/>
      </w:r>
      <w:r w:rsidR="008523E4">
        <w:t/>
      </w:r>
      <w:r w:rsidR="000D2353">
        <w:t/>
      </w:r>
      <w:r w:rsidR="00C6706B">
        <w:t/>
      </w:r>
      <w:r w:rsidR="005521BF">
        <w:t/>
      </w:r>
      <w:r w:rsidR="00E92E82">
        <w:t/>
      </w:r>
      <w:r w:rsidR="005521BF">
        <w:t/>
      </w:r>
      <w:r w:rsidR="004A246E">
        <w:t/>
      </w:r>
      <w:r w:rsidR="005C4F2F">
        <w:t/>
      </w:r>
      <w:r w:rsidR="004301DD">
        <w:t/>
      </w:r>
      <w:r w:rsidR="005C4F2F">
        <w:t/>
      </w:r>
      <w:r w:rsidR="00AB54AB">
        <w:t/>
      </w:r>
      <w:r w:rsidR="003542F1">
        <w:fldChar w:fldCharType="begin"/>
      </w:r>
      <w:r w:rsidR="00D56579">
        <w:instrText xml:space="preserve"> ADDIN ZOTERO_ITEM CSL_CITATION {"citationID":"lUtt47Wm","properties":{"formattedCitation":"(Delouette et al., 2025)","plainCitation":"(Delouette et al., 2025)","noteIndex":0},"citationItems":[{"id":13881,"uris":["http://zotero.org/users/10222123/items/N9IN8JZH"],"itemData":{"id":13881,"type":"article-journal","citation-key":"delouetteProtectionSocialeLalimentation2025","container-title":"Revue française des affaires sociales","ISSN":"0035-2985","issue":"4","language":"fr","page":"209-230","publisher":"DREES Ministère de la santé","source":"shs.cairn.info","title":"Protection sociale de l’alimentation : l’enjeu des financements pour construire des communs socio-écologiques","title-short":"Protection sociale de l’alimentation","volume":"254","author":[{"family":"Delouette","given":"Ilona"},{"family":"Vasseur","given":"Cécile"},{"family":"Pates","given":"Collectif"}],"issued":{"date-parts":[["2025"]]}}}],"schema":"https://github.com/citation-style-language/schema/raw/master/csl-citation.json"} </w:instrText>
      </w:r>
      <w:r w:rsidR="003542F1">
        <w:fldChar w:fldCharType="separate"/>
      </w:r>
      <w:r w:rsidR="00D56579" w:rsidRPr="00D56579">
        <w:rPr>
          <w:rFonts w:cs="Times New Roman"/>
        </w:rPr>
        <w:t>(Delouette et al., 2025)</w:t>
      </w:r>
      <w:r w:rsidR="003542F1">
        <w:fldChar w:fldCharType="end"/>
      </w:r>
      <w:r w:rsidR="007F1202">
        <w:t>. A relação entre o coletivo nacional por uma SSA e a coordenação entre caixas ainda está em construção. Ela poderia muito bem constituir o locus político em que se construiria uma nova relação com o Estado (e com a PAC europeia), mais descentralizada, no registro alimentar.</w:t>
      </w:r>
      <w:r w:rsidR="004960AB">
        <w:t/>
      </w:r>
      <w:r w:rsidR="0008733D">
        <w:t/>
      </w:r>
      <w:r w:rsidR="00C51F73">
        <w:t/>
      </w:r>
      <w:r w:rsidR="000909E3">
        <w:t/>
      </w:r>
      <w:r w:rsidR="00822542">
        <w:t/>
      </w:r>
      <w:r w:rsidR="005A6FAF">
        <w:t/>
      </w:r>
      <w:r w:rsidR="000F356A">
        <w:t/>
      </w:r>
      <w:r w:rsidR="003055BB">
        <w:t/>
      </w:r>
      <w:r w:rsidR="000D6F7E">
        <w:t/>
      </w:r>
      <w:r w:rsidR="007C28CB">
        <w:t/>
      </w:r>
      <w:r w:rsidR="000D6F7E">
        <w:t/>
      </w:r>
      <w:r w:rsidR="001D39BE">
        <w:t/>
      </w:r>
      <w:r w:rsidR="00991940">
        <w:t/>
      </w:r>
      <w:r w:rsidR="001D39BE">
        <w:t/>
      </w:r>
      <w:r w:rsidR="009F79FC">
        <w:t/>
      </w:r>
      <w:r w:rsidR="00EF3EB3">
        <w:t/>
      </w:r>
      <w:r w:rsidR="00D15284">
        <w:t/>
      </w:r>
      <w:r w:rsidR="00276714">
        <w:t/>
      </w:r>
      <w:r w:rsidR="004A246E">
        <w:t/>
      </w:r>
    </w:p>
    <w:p w14:paraId="6A75F34D" w14:textId="77777777" w:rsidR="005267B5" w:rsidRPr="00377D74" w:rsidRDefault="005267B5" w:rsidP="00967BBB">
      <w:pPr>
        <w:jc w:val="both"/>
      </w:pPr>
    </w:p>
    <w:p w14:paraId="64251C07" w14:textId="53611D14" w:rsidR="00102FD5" w:rsidRDefault="00F81083" w:rsidP="00634E69">
      <w:pPr>
        <w:pStyle w:val="Titre2"/>
      </w:pPr>
      <w:r>
        <w:t>Referências bibliográficas</w:t>
      </w:r>
    </w:p>
    <w:p w14:paraId="1C90B991" w14:textId="77777777" w:rsidR="007C1A0D" w:rsidRDefault="00634E69" w:rsidP="007C1A0D">
      <w:pPr>
        <w:pStyle w:val="Bibliographie"/>
        <w:rPr>
          <w:rFonts w:cs="Times New Roman"/>
          <w:kern w:val="0"/>
        </w:rPr>
      </w:pPr>
      <w:r>
        <w:fldChar w:fldCharType="begin"/>
      </w:r>
      <w:r w:rsidR="007C1A0D">
        <w:instrText xml:space="preserve"> ADDIN ZOTERO_BIBL {"uncited":[],"omitted":[],"custom":[]} CSL_BIBLIOGRAPHY </w:instrText>
      </w:r>
      <w:r>
        <w:fldChar w:fldCharType="separate"/>
      </w:r>
      <w:r w:rsidR="007C1A0D">
        <w:rPr>
          <w:rFonts w:cs="Times New Roman"/>
          <w:kern w:val="0"/>
        </w:rPr>
        <w:t>Allaire, G. (1988). Le modèle de développement agricole des années 1960.</w:t>
      </w:r>
    </w:p>
    <w:p w14:paraId="772BAA1E" w14:textId="77777777" w:rsidR="007C1A0D" w:rsidRDefault="007C1A0D" w:rsidP="007C1A0D">
      <w:pPr>
        <w:pStyle w:val="Bibliographie"/>
        <w:rPr>
          <w:rFonts w:cs="Times New Roman"/>
          <w:kern w:val="0"/>
        </w:rPr>
      </w:pPr>
      <w:r>
        <w:rPr>
          <w:rFonts w:cs="Times New Roman"/>
          <w:kern w:val="0"/>
        </w:rPr>
        <w:t>Amable, B., &amp; Palombarini, S. (2023). Multidimensional social conflict and institutional change. New Political Economy, 28(6), 942‑957.</w:t>
      </w:r>
    </w:p>
    <w:p w14:paraId="612A34D0" w14:textId="77777777" w:rsidR="007C1A0D" w:rsidRDefault="007C1A0D" w:rsidP="007C1A0D">
      <w:pPr>
        <w:pStyle w:val="Bibliographie"/>
        <w:rPr>
          <w:rFonts w:cs="Times New Roman"/>
          <w:kern w:val="0"/>
        </w:rPr>
      </w:pPr>
      <w:r>
        <w:rPr>
          <w:rFonts w:cs="Times New Roman"/>
          <w:kern w:val="0"/>
        </w:rPr>
        <w:t>Ansaloni, M., &amp; Allaire, G. (2016). La grande transformation des politiques agricoles anglaise et française : Une sociologie de l’hégémonie économique. Revue de la régulation. Capitalisme, institutions, pouvoirs, (20).</w:t>
      </w:r>
    </w:p>
    <w:p w14:paraId="2B38E967" w14:textId="77777777" w:rsidR="007C1A0D" w:rsidRDefault="007C1A0D" w:rsidP="007C1A0D">
      <w:pPr>
        <w:pStyle w:val="Bibliographie"/>
        <w:rPr>
          <w:rFonts w:cs="Times New Roman"/>
          <w:kern w:val="0"/>
        </w:rPr>
      </w:pPr>
      <w:r>
        <w:rPr>
          <w:rFonts w:cs="Times New Roman"/>
          <w:kern w:val="0"/>
        </w:rPr>
        <w:t>Bartoli, P., &amp; Boulet, D. (Éds). (1990). Conditions d’une approche en termes de régulation sectorielle : Le cas de la sphère viticole. Cahiers d’Economie et de Sociologie Rurales (CESR).</w:t>
      </w:r>
    </w:p>
    <w:p w14:paraId="415EE617" w14:textId="77777777" w:rsidR="007C1A0D" w:rsidRPr="007C1A0D" w:rsidRDefault="007C1A0D" w:rsidP="007C1A0D">
      <w:pPr>
        <w:pStyle w:val="Bibliographie"/>
        <w:rPr>
          <w:rFonts w:cs="Times New Roman"/>
          <w:kern w:val="0"/>
          <w:lang w:val="en-US"/>
        </w:rPr>
      </w:pPr>
      <w:r>
        <w:rPr>
          <w:rFonts w:cs="Times New Roman"/>
          <w:kern w:val="0"/>
        </w:rPr>
        <w:t xml:space="preserve">Bennholdt‐Thomsen, V. (1982). </w:t>
      </w:r>
      <w:r w:rsidRPr="007C1A0D">
        <w:rPr>
          <w:rFonts w:cs="Times New Roman"/>
          <w:kern w:val="0"/>
          <w:lang w:val="en-US"/>
        </w:rPr>
        <w:t>Subsistence production and extended reproduction. A contribution to the discussion about modes of production. The Journal of Peasant Studies, 9(4), 241‑254.</w:t>
      </w:r>
    </w:p>
    <w:p w14:paraId="70ADD9BE" w14:textId="77777777" w:rsidR="007C1A0D" w:rsidRPr="007C1A0D" w:rsidRDefault="007C1A0D" w:rsidP="007C1A0D">
      <w:pPr>
        <w:pStyle w:val="Bibliographie"/>
        <w:rPr>
          <w:rFonts w:cs="Times New Roman"/>
          <w:kern w:val="0"/>
          <w:lang w:val="en-US"/>
        </w:rPr>
      </w:pPr>
      <w:r>
        <w:rPr>
          <w:rFonts w:cs="Times New Roman"/>
          <w:kern w:val="0"/>
        </w:rPr>
        <w:t xml:space="preserve">Bernard de Raymond, A., &amp; Thivet, D. (2021). Un monde sans faim (Presses de Sciences Po). </w:t>
      </w:r>
      <w:r w:rsidRPr="007C1A0D">
        <w:rPr>
          <w:rFonts w:cs="Times New Roman"/>
          <w:kern w:val="0"/>
          <w:lang w:val="en-US"/>
        </w:rPr>
        <w:t>(S.l.): (s.n.).</w:t>
      </w:r>
    </w:p>
    <w:p w14:paraId="5887429C" w14:textId="77777777" w:rsidR="007C1A0D" w:rsidRPr="007C1A0D" w:rsidRDefault="007C1A0D" w:rsidP="007C1A0D">
      <w:pPr>
        <w:pStyle w:val="Bibliographie"/>
        <w:rPr>
          <w:rFonts w:cs="Times New Roman"/>
          <w:kern w:val="0"/>
          <w:lang w:val="en-US"/>
        </w:rPr>
      </w:pPr>
      <w:r w:rsidRPr="007C1A0D">
        <w:rPr>
          <w:rFonts w:cs="Times New Roman"/>
          <w:kern w:val="0"/>
          <w:lang w:val="en-US"/>
        </w:rPr>
        <w:t>Bernstein, H. (2010). Class Dynamics of Agrarian Change. Halifax, N.S. : Sterling, VA: Kumarian Press.</w:t>
      </w:r>
    </w:p>
    <w:p w14:paraId="58134CC9" w14:textId="77777777" w:rsidR="007C1A0D" w:rsidRPr="007C1A0D" w:rsidRDefault="007C1A0D" w:rsidP="007C1A0D">
      <w:pPr>
        <w:pStyle w:val="Bibliographie"/>
        <w:rPr>
          <w:rFonts w:cs="Times New Roman"/>
          <w:kern w:val="0"/>
          <w:lang w:val="en-US"/>
        </w:rPr>
      </w:pPr>
      <w:r w:rsidRPr="007C1A0D">
        <w:rPr>
          <w:rFonts w:cs="Times New Roman"/>
          <w:kern w:val="0"/>
          <w:lang w:val="en-US"/>
        </w:rPr>
        <w:t>Bernstein, H. (2014). Food sovereignty via the ‘peasant way’ : A sceptical view. The Journal of Peasant Studies, 41(6), 1031‑1063.</w:t>
      </w:r>
    </w:p>
    <w:p w14:paraId="7775AD5B" w14:textId="77777777" w:rsidR="007C1A0D" w:rsidRPr="007C1A0D" w:rsidRDefault="007C1A0D" w:rsidP="007C1A0D">
      <w:pPr>
        <w:pStyle w:val="Bibliographie"/>
        <w:rPr>
          <w:rFonts w:cs="Times New Roman"/>
          <w:kern w:val="0"/>
          <w:lang w:val="en-US"/>
        </w:rPr>
      </w:pPr>
      <w:r w:rsidRPr="007C1A0D">
        <w:rPr>
          <w:rFonts w:cs="Times New Roman"/>
          <w:kern w:val="0"/>
          <w:lang w:val="en-US"/>
        </w:rPr>
        <w:t>Bernstein, H. (2015). Food Regimes and Food Regime Analysis : A Selective Survey. Communication présentée au Land grabbing, conflict and agrarian‐environmental transformations: perspectives from East and Southeast Asia, Chiang Mai, Thailand.</w:t>
      </w:r>
    </w:p>
    <w:p w14:paraId="7888834D" w14:textId="77777777" w:rsidR="007C1A0D" w:rsidRDefault="007C1A0D" w:rsidP="007C1A0D">
      <w:pPr>
        <w:pStyle w:val="Bibliographie"/>
        <w:rPr>
          <w:rFonts w:cs="Times New Roman"/>
          <w:kern w:val="0"/>
        </w:rPr>
      </w:pPr>
      <w:r w:rsidRPr="007C1A0D">
        <w:rPr>
          <w:rFonts w:cs="Times New Roman"/>
          <w:kern w:val="0"/>
          <w:lang w:val="en-US"/>
        </w:rPr>
        <w:t xml:space="preserve">Bizberg, I., &amp; Théret, B. (2012). </w:t>
      </w:r>
      <w:r>
        <w:rPr>
          <w:rFonts w:cs="Times New Roman"/>
          <w:kern w:val="0"/>
        </w:rPr>
        <w:t>La diversité des capitalismes latino-américains : Les cas de l’Argentine, du Brésil et du Mexique. Revue de la régulation. Capitalisme, institutions, pouvoirs, (11).</w:t>
      </w:r>
    </w:p>
    <w:p w14:paraId="28221BEF" w14:textId="77777777" w:rsidR="007C1A0D" w:rsidRDefault="007C1A0D" w:rsidP="007C1A0D">
      <w:pPr>
        <w:pStyle w:val="Bibliographie"/>
        <w:rPr>
          <w:rFonts w:cs="Times New Roman"/>
          <w:kern w:val="0"/>
        </w:rPr>
      </w:pPr>
      <w:r>
        <w:rPr>
          <w:rFonts w:cs="Times New Roman"/>
          <w:kern w:val="0"/>
        </w:rPr>
        <w:t>Boyer, R. (2003). Les analyses historiques comparatives du changement institutionnel : Quels enseignements pour la théorie de la régulation ? Dans L’Année de la régulation n° 7 (2003-2004) (pp. 167‑203). (S.l.): Presses de Sciences Po.</w:t>
      </w:r>
    </w:p>
    <w:p w14:paraId="3F965626" w14:textId="77777777" w:rsidR="007C1A0D" w:rsidRDefault="007C1A0D" w:rsidP="007C1A0D">
      <w:pPr>
        <w:pStyle w:val="Bibliographie"/>
        <w:rPr>
          <w:rFonts w:cs="Times New Roman"/>
          <w:kern w:val="0"/>
        </w:rPr>
      </w:pPr>
      <w:r>
        <w:rPr>
          <w:rFonts w:cs="Times New Roman"/>
          <w:kern w:val="0"/>
        </w:rPr>
        <w:lastRenderedPageBreak/>
        <w:t>CEPAL. (2012). Eslabones de la desigualdad Heterogeneidad estructural, empleo y protección social. CEPAL.</w:t>
      </w:r>
    </w:p>
    <w:p w14:paraId="0573BDBC" w14:textId="77777777" w:rsidR="007C1A0D" w:rsidRDefault="007C1A0D" w:rsidP="007C1A0D">
      <w:pPr>
        <w:pStyle w:val="Bibliographie"/>
        <w:rPr>
          <w:rFonts w:cs="Times New Roman"/>
          <w:kern w:val="0"/>
        </w:rPr>
      </w:pPr>
      <w:r>
        <w:rPr>
          <w:rFonts w:cs="Times New Roman"/>
          <w:kern w:val="0"/>
        </w:rPr>
        <w:t>Chiffoleau, Y., Akermann, G., Paturel, D., &amp; Noël, J. (2023). Des circuits courts à la sécurité sociale de l’alimentation : Économies concrètes et récit politique pour la solidarité alimentaire. Lien social et Politiques, (90), 310‑329.</w:t>
      </w:r>
    </w:p>
    <w:p w14:paraId="4442852D" w14:textId="77777777" w:rsidR="007C1A0D" w:rsidRDefault="007C1A0D" w:rsidP="007C1A0D">
      <w:pPr>
        <w:pStyle w:val="Bibliographie"/>
        <w:rPr>
          <w:rFonts w:cs="Times New Roman"/>
          <w:kern w:val="0"/>
        </w:rPr>
      </w:pPr>
      <w:r>
        <w:rPr>
          <w:rFonts w:cs="Times New Roman"/>
          <w:kern w:val="0"/>
        </w:rPr>
        <w:t>Da Silva, N. (2022). La bataille de la Sécu : Une histoire du système de santé. Paris: La fabrique éditions.</w:t>
      </w:r>
    </w:p>
    <w:p w14:paraId="46FBEBCF" w14:textId="77777777" w:rsidR="007C1A0D" w:rsidRDefault="007C1A0D" w:rsidP="007C1A0D">
      <w:pPr>
        <w:pStyle w:val="Bibliographie"/>
        <w:rPr>
          <w:rFonts w:cs="Times New Roman"/>
          <w:kern w:val="0"/>
        </w:rPr>
      </w:pPr>
      <w:r>
        <w:rPr>
          <w:rFonts w:cs="Times New Roman"/>
          <w:kern w:val="0"/>
        </w:rPr>
        <w:t>Darrot, C., Maréchal, G., &amp; Bréger, T. (2019). Rapport sur les Projets Alimentaires Territoriaux (P.A.T.) en France : Etat des lieux et analyse. Agrocampus Ouest : Rennes: Institut Hanseo-Agrico.</w:t>
      </w:r>
    </w:p>
    <w:p w14:paraId="49924395" w14:textId="77777777" w:rsidR="007C1A0D" w:rsidRDefault="007C1A0D" w:rsidP="007C1A0D">
      <w:pPr>
        <w:pStyle w:val="Bibliographie"/>
        <w:rPr>
          <w:rFonts w:cs="Times New Roman"/>
          <w:kern w:val="0"/>
        </w:rPr>
      </w:pPr>
      <w:r>
        <w:rPr>
          <w:rFonts w:cs="Times New Roman"/>
          <w:kern w:val="0"/>
        </w:rPr>
        <w:t>Delouette, I., Vasseur, C., &amp; Pates, C. (2025). Protection sociale de l’alimentation : L’enjeu des financements pour construire des communs socio-écologiques. Revue française des affaires sociales, 254(4), 209‑230.</w:t>
      </w:r>
    </w:p>
    <w:p w14:paraId="0B378DBD" w14:textId="77777777" w:rsidR="007C1A0D" w:rsidRPr="007C1A0D" w:rsidRDefault="007C1A0D" w:rsidP="007C1A0D">
      <w:pPr>
        <w:pStyle w:val="Bibliographie"/>
        <w:rPr>
          <w:rFonts w:cs="Times New Roman"/>
          <w:kern w:val="0"/>
          <w:lang w:val="en-US"/>
        </w:rPr>
      </w:pPr>
      <w:r>
        <w:rPr>
          <w:rFonts w:cs="Times New Roman"/>
          <w:kern w:val="0"/>
        </w:rPr>
        <w:t xml:space="preserve">Fraser, N. (2013). A Triple Movement? </w:t>
      </w:r>
      <w:r w:rsidRPr="007C1A0D">
        <w:rPr>
          <w:rFonts w:cs="Times New Roman"/>
          <w:kern w:val="0"/>
          <w:lang w:val="en-US"/>
        </w:rPr>
        <w:t>New Left Review, (81), 119‑132.</w:t>
      </w:r>
    </w:p>
    <w:p w14:paraId="6D4540A2" w14:textId="77777777" w:rsidR="007C1A0D" w:rsidRPr="007C1A0D" w:rsidRDefault="007C1A0D" w:rsidP="007C1A0D">
      <w:pPr>
        <w:pStyle w:val="Bibliographie"/>
        <w:rPr>
          <w:rFonts w:cs="Times New Roman"/>
          <w:kern w:val="0"/>
          <w:lang w:val="en-US"/>
        </w:rPr>
      </w:pPr>
      <w:r w:rsidRPr="007C1A0D">
        <w:rPr>
          <w:rFonts w:cs="Times New Roman"/>
          <w:kern w:val="0"/>
          <w:lang w:val="en-US"/>
        </w:rPr>
        <w:t>Fraser, N. (2016). Contradictions of Capital and Care. New Left Review, (100), 99‑117.</w:t>
      </w:r>
    </w:p>
    <w:p w14:paraId="14CD70CE" w14:textId="77777777" w:rsidR="007C1A0D" w:rsidRDefault="007C1A0D" w:rsidP="007C1A0D">
      <w:pPr>
        <w:pStyle w:val="Bibliographie"/>
        <w:rPr>
          <w:rFonts w:cs="Times New Roman"/>
          <w:kern w:val="0"/>
        </w:rPr>
      </w:pPr>
      <w:r w:rsidRPr="007C1A0D">
        <w:rPr>
          <w:rFonts w:cs="Times New Roman"/>
          <w:kern w:val="0"/>
          <w:lang w:val="en-US"/>
        </w:rPr>
        <w:t xml:space="preserve">Friedmann, H., Daviron, B., &amp; Allaire, G. (2016). </w:t>
      </w:r>
      <w:r w:rsidRPr="009A77E6">
        <w:rPr>
          <w:rFonts w:cs="Times New Roman"/>
          <w:kern w:val="0"/>
          <w:lang w:val="en-US"/>
        </w:rPr>
        <w:t xml:space="preserve">“Political economists have been blinded by the apparent marginalization of land and food”. </w:t>
      </w:r>
      <w:r>
        <w:rPr>
          <w:rFonts w:cs="Times New Roman"/>
          <w:kern w:val="0"/>
        </w:rPr>
        <w:t>Revue de la régulation. Capitalisme, institutions, pouvoirs, (20).</w:t>
      </w:r>
    </w:p>
    <w:p w14:paraId="286D3C52" w14:textId="77777777" w:rsidR="007C1A0D" w:rsidRPr="009A77E6" w:rsidRDefault="007C1A0D" w:rsidP="007C1A0D">
      <w:pPr>
        <w:pStyle w:val="Bibliographie"/>
        <w:rPr>
          <w:rFonts w:cs="Times New Roman"/>
          <w:kern w:val="0"/>
          <w:lang w:val="en-US"/>
        </w:rPr>
      </w:pPr>
      <w:r>
        <w:rPr>
          <w:rFonts w:cs="Times New Roman"/>
          <w:kern w:val="0"/>
        </w:rPr>
        <w:t xml:space="preserve">Friedmann, H., &amp; McMichael, P. (1989). </w:t>
      </w:r>
      <w:r w:rsidRPr="009A77E6">
        <w:rPr>
          <w:rFonts w:cs="Times New Roman"/>
          <w:kern w:val="0"/>
          <w:lang w:val="en-US"/>
        </w:rPr>
        <w:t>Agriculture and the State System : The Rise and Decline of National Agriculture. Sociologia Ruralis, 29, 93‑117.</w:t>
      </w:r>
    </w:p>
    <w:p w14:paraId="01AFD316" w14:textId="77777777" w:rsidR="007C1A0D" w:rsidRPr="009A77E6" w:rsidRDefault="007C1A0D" w:rsidP="007C1A0D">
      <w:pPr>
        <w:pStyle w:val="Bibliographie"/>
        <w:rPr>
          <w:rFonts w:cs="Times New Roman"/>
          <w:kern w:val="0"/>
          <w:lang w:val="en-US"/>
        </w:rPr>
      </w:pPr>
      <w:r w:rsidRPr="009A77E6">
        <w:rPr>
          <w:rFonts w:cs="Times New Roman"/>
          <w:kern w:val="0"/>
          <w:lang w:val="en-US"/>
        </w:rPr>
        <w:t>Furtado, C. (1959). Formação Econômica do Brasil.</w:t>
      </w:r>
    </w:p>
    <w:p w14:paraId="5141966F" w14:textId="77777777" w:rsidR="007C1A0D" w:rsidRPr="009A77E6" w:rsidRDefault="007C1A0D" w:rsidP="007C1A0D">
      <w:pPr>
        <w:pStyle w:val="Bibliographie"/>
        <w:rPr>
          <w:rFonts w:cs="Times New Roman"/>
          <w:kern w:val="0"/>
          <w:lang w:val="en-US"/>
        </w:rPr>
      </w:pPr>
      <w:r w:rsidRPr="009A77E6">
        <w:rPr>
          <w:rFonts w:cs="Times New Roman"/>
          <w:kern w:val="0"/>
          <w:lang w:val="en-US"/>
        </w:rPr>
        <w:t>Helfand, S. M., &amp; Castro De Rezende, G. (2001). Brazilian Agriculture in the 1990s : Impact of the Policy Reforms. SSRN Electronic Journal.</w:t>
      </w:r>
    </w:p>
    <w:p w14:paraId="5C34F6F1" w14:textId="77777777" w:rsidR="007C1A0D" w:rsidRDefault="007C1A0D" w:rsidP="007C1A0D">
      <w:pPr>
        <w:pStyle w:val="Bibliographie"/>
        <w:rPr>
          <w:rFonts w:cs="Times New Roman"/>
          <w:kern w:val="0"/>
        </w:rPr>
      </w:pPr>
      <w:r w:rsidRPr="009A77E6">
        <w:rPr>
          <w:rFonts w:cs="Times New Roman"/>
          <w:kern w:val="0"/>
          <w:lang w:val="en-US"/>
        </w:rPr>
        <w:t xml:space="preserve">Houtzager, P. P. (1998). State and Unions in the Transformation of the Brazilian Countryside, 1964-1979. </w:t>
      </w:r>
      <w:r>
        <w:rPr>
          <w:rFonts w:cs="Times New Roman"/>
          <w:kern w:val="0"/>
        </w:rPr>
        <w:t>Latin American Research Review, 33(2), 103‑142.</w:t>
      </w:r>
    </w:p>
    <w:p w14:paraId="76F26B7E" w14:textId="77777777" w:rsidR="007C1A0D" w:rsidRDefault="007C1A0D" w:rsidP="007C1A0D">
      <w:pPr>
        <w:pStyle w:val="Bibliographie"/>
        <w:rPr>
          <w:rFonts w:cs="Times New Roman"/>
          <w:kern w:val="0"/>
        </w:rPr>
      </w:pPr>
      <w:r>
        <w:rPr>
          <w:rFonts w:cs="Times New Roman"/>
          <w:kern w:val="0"/>
        </w:rPr>
        <w:t>Jobert, B., &amp; Muller, P. (1987). L’État en action : Politiques publiques et corporatismes (1re éd). Paris: Presses universitaires de France.</w:t>
      </w:r>
    </w:p>
    <w:p w14:paraId="4D12A8D9" w14:textId="77777777" w:rsidR="007C1A0D" w:rsidRDefault="007C1A0D" w:rsidP="007C1A0D">
      <w:pPr>
        <w:pStyle w:val="Bibliographie"/>
        <w:rPr>
          <w:rFonts w:cs="Times New Roman"/>
          <w:kern w:val="0"/>
        </w:rPr>
      </w:pPr>
      <w:r>
        <w:rPr>
          <w:rFonts w:cs="Times New Roman"/>
          <w:kern w:val="0"/>
        </w:rPr>
        <w:t>Lambert, B. (1970). Les paysans dans la lutte des classes. (S.l.): Seuil, coll. « Politique ».</w:t>
      </w:r>
    </w:p>
    <w:p w14:paraId="5FE47235" w14:textId="77777777" w:rsidR="007C1A0D" w:rsidRDefault="007C1A0D" w:rsidP="007C1A0D">
      <w:pPr>
        <w:pStyle w:val="Bibliographie"/>
        <w:rPr>
          <w:rFonts w:cs="Times New Roman"/>
          <w:kern w:val="0"/>
        </w:rPr>
      </w:pPr>
      <w:r>
        <w:rPr>
          <w:rFonts w:cs="Times New Roman"/>
          <w:kern w:val="0"/>
        </w:rPr>
        <w:t>Lara, R., &amp; Silva, M. A. da. (2015). A ditadura civil-militar de 1964 : Os impactos de longa duração nos direitos trabalhistas e sociais no Brasil. Serviço Social &amp; Sociedade, 275‑293.</w:t>
      </w:r>
    </w:p>
    <w:p w14:paraId="59FE523D" w14:textId="77777777" w:rsidR="007C1A0D" w:rsidRDefault="007C1A0D" w:rsidP="007C1A0D">
      <w:pPr>
        <w:pStyle w:val="Bibliographie"/>
        <w:rPr>
          <w:rFonts w:cs="Times New Roman"/>
          <w:kern w:val="0"/>
        </w:rPr>
      </w:pPr>
      <w:r>
        <w:rPr>
          <w:rFonts w:cs="Times New Roman"/>
          <w:kern w:val="0"/>
        </w:rPr>
        <w:t>Lautier, B. (1995). Les malheureux sont les puissants de la terre. Revue Tiers Monde, XXXVI(142), 383‑409.</w:t>
      </w:r>
    </w:p>
    <w:p w14:paraId="0CA5D916" w14:textId="77777777" w:rsidR="007C1A0D" w:rsidRDefault="007C1A0D" w:rsidP="007C1A0D">
      <w:pPr>
        <w:pStyle w:val="Bibliographie"/>
        <w:rPr>
          <w:rFonts w:cs="Times New Roman"/>
          <w:kern w:val="0"/>
        </w:rPr>
      </w:pPr>
      <w:r>
        <w:rPr>
          <w:rFonts w:cs="Times New Roman"/>
          <w:kern w:val="0"/>
        </w:rPr>
        <w:t>Lautier, B. (2012). La diversité des systèmes de protection sociale en Amérique latine. Revue de la régulation. Capitalisme, institutions, pouvoirs, (11).</w:t>
      </w:r>
    </w:p>
    <w:p w14:paraId="5185DC2F" w14:textId="77777777" w:rsidR="007C1A0D" w:rsidRDefault="007C1A0D" w:rsidP="007C1A0D">
      <w:pPr>
        <w:pStyle w:val="Bibliographie"/>
        <w:rPr>
          <w:rFonts w:cs="Times New Roman"/>
          <w:kern w:val="0"/>
        </w:rPr>
      </w:pPr>
      <w:r>
        <w:rPr>
          <w:rFonts w:cs="Times New Roman"/>
          <w:kern w:val="0"/>
        </w:rPr>
        <w:t>Le Morvan, F., &amp; Wanecq, T. (2019). La lutte contre la précarité alimentaire. Evolution du soutien public à une politique sociale, agricole et de santé publique. (Rapport No. 2019‑ 069R). IGAS.</w:t>
      </w:r>
    </w:p>
    <w:p w14:paraId="175CE3F3" w14:textId="77777777" w:rsidR="007C1A0D" w:rsidRDefault="007C1A0D" w:rsidP="007C1A0D">
      <w:pPr>
        <w:pStyle w:val="Bibliographie"/>
        <w:rPr>
          <w:rFonts w:cs="Times New Roman"/>
          <w:kern w:val="0"/>
        </w:rPr>
      </w:pPr>
      <w:r>
        <w:rPr>
          <w:rFonts w:cs="Times New Roman"/>
          <w:kern w:val="0"/>
        </w:rPr>
        <w:t>Malassis, L. (2002). Nourrir les hommes : Un exposé pour comprendre, un essai pour réfléchir. Paris: Flammarion.</w:t>
      </w:r>
    </w:p>
    <w:p w14:paraId="61A191D4" w14:textId="77777777" w:rsidR="007C1A0D" w:rsidRDefault="007C1A0D" w:rsidP="007C1A0D">
      <w:pPr>
        <w:pStyle w:val="Bibliographie"/>
        <w:rPr>
          <w:rFonts w:cs="Times New Roman"/>
          <w:kern w:val="0"/>
        </w:rPr>
      </w:pPr>
      <w:r>
        <w:rPr>
          <w:rFonts w:cs="Times New Roman"/>
          <w:kern w:val="0"/>
        </w:rPr>
        <w:t>Martine, G. (1991). A trajetória da modernização agrícola : A quem beneficia? Lua Nova : Revista de Cultura e Política, 7‑37.</w:t>
      </w:r>
    </w:p>
    <w:p w14:paraId="0E6466D5" w14:textId="77777777" w:rsidR="007C1A0D" w:rsidRPr="009A77E6" w:rsidRDefault="007C1A0D" w:rsidP="007C1A0D">
      <w:pPr>
        <w:pStyle w:val="Bibliographie"/>
        <w:rPr>
          <w:rFonts w:cs="Times New Roman"/>
          <w:kern w:val="0"/>
          <w:lang w:val="en-US"/>
        </w:rPr>
      </w:pPr>
      <w:r>
        <w:rPr>
          <w:rFonts w:cs="Times New Roman"/>
          <w:kern w:val="0"/>
        </w:rPr>
        <w:t xml:space="preserve">Martínez-Torres, M. E., &amp; Rosset, P. M. (2010). </w:t>
      </w:r>
      <w:r w:rsidRPr="009A77E6">
        <w:rPr>
          <w:rFonts w:cs="Times New Roman"/>
          <w:kern w:val="0"/>
          <w:lang w:val="en-US"/>
        </w:rPr>
        <w:t>La Vía Campesina : The birth and evolution of a transnational social movement. The Journal of Peasant Studies, 37(1), 149‑175.</w:t>
      </w:r>
    </w:p>
    <w:p w14:paraId="3CC9B3AC" w14:textId="77777777" w:rsidR="007C1A0D" w:rsidRPr="009A77E6" w:rsidRDefault="007C1A0D" w:rsidP="007C1A0D">
      <w:pPr>
        <w:pStyle w:val="Bibliographie"/>
        <w:rPr>
          <w:rFonts w:cs="Times New Roman"/>
          <w:kern w:val="0"/>
          <w:lang w:val="en-US"/>
        </w:rPr>
      </w:pPr>
      <w:r w:rsidRPr="009A77E6">
        <w:rPr>
          <w:rFonts w:cs="Times New Roman"/>
          <w:kern w:val="0"/>
          <w:lang w:val="en-US"/>
        </w:rPr>
        <w:t>Marx, K. (1990). Capital : Volume I. London: Penguin Classics.</w:t>
      </w:r>
    </w:p>
    <w:p w14:paraId="20FEB377" w14:textId="77777777" w:rsidR="007C1A0D" w:rsidRDefault="007C1A0D" w:rsidP="007C1A0D">
      <w:pPr>
        <w:pStyle w:val="Bibliographie"/>
        <w:rPr>
          <w:rFonts w:cs="Times New Roman"/>
          <w:kern w:val="0"/>
        </w:rPr>
      </w:pPr>
      <w:r w:rsidRPr="009A77E6">
        <w:rPr>
          <w:rFonts w:cs="Times New Roman"/>
          <w:kern w:val="0"/>
          <w:lang w:val="en-US"/>
        </w:rPr>
        <w:t xml:space="preserve">McMichael, P. (2023). Updating Karl Polanyi’s ‘double movement’ for critical agrarian studies. </w:t>
      </w:r>
      <w:r>
        <w:rPr>
          <w:rFonts w:cs="Times New Roman"/>
          <w:kern w:val="0"/>
        </w:rPr>
        <w:t>The Journal of Peasant Studies, 50(6), 2123‑2144.</w:t>
      </w:r>
    </w:p>
    <w:p w14:paraId="663797DF" w14:textId="77777777" w:rsidR="007C1A0D" w:rsidRPr="009A77E6" w:rsidRDefault="007C1A0D" w:rsidP="007C1A0D">
      <w:pPr>
        <w:pStyle w:val="Bibliographie"/>
        <w:rPr>
          <w:rFonts w:cs="Times New Roman"/>
          <w:kern w:val="0"/>
          <w:lang w:val="en-US"/>
        </w:rPr>
      </w:pPr>
      <w:r>
        <w:rPr>
          <w:rFonts w:cs="Times New Roman"/>
          <w:kern w:val="0"/>
        </w:rPr>
        <w:t xml:space="preserve">Mendras, H. (1992). La fin des paysans ; suivi d’une réflexion sur la fin des paysans vingt ans après. </w:t>
      </w:r>
      <w:r w:rsidRPr="009A77E6">
        <w:rPr>
          <w:rFonts w:cs="Times New Roman"/>
          <w:kern w:val="0"/>
          <w:lang w:val="en-US"/>
        </w:rPr>
        <w:t>Le Méjan, Arles : Bruxelles : [Lausanne]: Actes Sud.</w:t>
      </w:r>
    </w:p>
    <w:p w14:paraId="7DCA3653" w14:textId="77777777" w:rsidR="007C1A0D" w:rsidRPr="009A77E6" w:rsidRDefault="007C1A0D" w:rsidP="007C1A0D">
      <w:pPr>
        <w:pStyle w:val="Bibliographie"/>
        <w:rPr>
          <w:rFonts w:cs="Times New Roman"/>
          <w:kern w:val="0"/>
          <w:lang w:val="en-US"/>
        </w:rPr>
      </w:pPr>
      <w:r w:rsidRPr="009A77E6">
        <w:rPr>
          <w:rFonts w:cs="Times New Roman"/>
          <w:kern w:val="0"/>
          <w:lang w:val="en-US"/>
        </w:rPr>
        <w:lastRenderedPageBreak/>
        <w:t>Mies, M. (2014). Patriarchy and accumulation on a world scale : Women in the international division of labour. London: Zed Books Limited.</w:t>
      </w:r>
    </w:p>
    <w:p w14:paraId="51931912" w14:textId="77777777" w:rsidR="007C1A0D" w:rsidRDefault="007C1A0D" w:rsidP="007C1A0D">
      <w:pPr>
        <w:pStyle w:val="Bibliographie"/>
        <w:rPr>
          <w:rFonts w:cs="Times New Roman"/>
          <w:kern w:val="0"/>
        </w:rPr>
      </w:pPr>
      <w:r w:rsidRPr="009A77E6">
        <w:rPr>
          <w:rFonts w:cs="Times New Roman"/>
          <w:kern w:val="0"/>
          <w:lang w:val="en-US"/>
        </w:rPr>
        <w:t xml:space="preserve">Moore, J. W. (2015). Capitalism in the web of life : Ecology and the accumulation of capital. </w:t>
      </w:r>
      <w:r>
        <w:rPr>
          <w:rFonts w:cs="Times New Roman"/>
          <w:kern w:val="0"/>
        </w:rPr>
        <w:t>London: Verso.</w:t>
      </w:r>
    </w:p>
    <w:p w14:paraId="13359864" w14:textId="77777777" w:rsidR="007C1A0D" w:rsidRDefault="007C1A0D" w:rsidP="007C1A0D">
      <w:pPr>
        <w:pStyle w:val="Bibliographie"/>
        <w:rPr>
          <w:rFonts w:cs="Times New Roman"/>
          <w:kern w:val="0"/>
        </w:rPr>
      </w:pPr>
      <w:r>
        <w:rPr>
          <w:rFonts w:cs="Times New Roman"/>
          <w:kern w:val="0"/>
        </w:rPr>
        <w:t>Muller, P. (2005). Esquisse d’une théorie du changement dans l’action publique:Structures, acteurs et cadres cognitifs. Revue française de science politique, 55(1), 155‑187.</w:t>
      </w:r>
    </w:p>
    <w:p w14:paraId="0A23E76F" w14:textId="77777777" w:rsidR="007C1A0D" w:rsidRDefault="007C1A0D" w:rsidP="007C1A0D">
      <w:pPr>
        <w:pStyle w:val="Bibliographie"/>
        <w:rPr>
          <w:rFonts w:cs="Times New Roman"/>
          <w:kern w:val="0"/>
        </w:rPr>
      </w:pPr>
      <w:r>
        <w:rPr>
          <w:rFonts w:cs="Times New Roman"/>
          <w:kern w:val="0"/>
        </w:rPr>
        <w:t>Niederle, P. (2018). A pluralist and pragmatist critique of food regime’s genealogy : Varieties of social orders in Brazilian agriculture. The Journal of Peasant Studies, 45(7), 1460‑1483.</w:t>
      </w:r>
    </w:p>
    <w:p w14:paraId="1E723C28" w14:textId="77777777" w:rsidR="007C1A0D" w:rsidRDefault="007C1A0D" w:rsidP="007C1A0D">
      <w:pPr>
        <w:pStyle w:val="Bibliographie"/>
        <w:rPr>
          <w:rFonts w:cs="Times New Roman"/>
          <w:kern w:val="0"/>
        </w:rPr>
      </w:pPr>
      <w:r>
        <w:rPr>
          <w:rFonts w:cs="Times New Roman"/>
          <w:kern w:val="0"/>
        </w:rPr>
        <w:t>Paturel, D. (2018). Faut-il continuer à nourrir les pauvres ?:L’accès à une alimentation de qualité comme enjeu démocratique pour le travail social. Le Sociographe, 62(2), 13‑22.</w:t>
      </w:r>
    </w:p>
    <w:p w14:paraId="1F7A922A" w14:textId="77777777" w:rsidR="007C1A0D" w:rsidRDefault="007C1A0D" w:rsidP="007C1A0D">
      <w:pPr>
        <w:pStyle w:val="Bibliographie"/>
        <w:rPr>
          <w:rFonts w:cs="Times New Roman"/>
          <w:kern w:val="0"/>
        </w:rPr>
      </w:pPr>
      <w:r>
        <w:rPr>
          <w:rFonts w:cs="Times New Roman"/>
          <w:kern w:val="0"/>
        </w:rPr>
        <w:t>Polanyi, K. (1944). La grande transformation : Aux origines politiques et économiques de notre temps. Paris: Gallimard.</w:t>
      </w:r>
    </w:p>
    <w:p w14:paraId="3C46219C" w14:textId="77777777" w:rsidR="007C1A0D" w:rsidRDefault="007C1A0D" w:rsidP="007C1A0D">
      <w:pPr>
        <w:pStyle w:val="Bibliographie"/>
        <w:rPr>
          <w:rFonts w:cs="Times New Roman"/>
          <w:kern w:val="0"/>
        </w:rPr>
      </w:pPr>
      <w:r>
        <w:rPr>
          <w:rFonts w:cs="Times New Roman"/>
          <w:kern w:val="0"/>
        </w:rPr>
        <w:t>Poupard, A. (n.d.). Grandeur et décadence du système national de protection sociale alimentaire brésilien : Une relecture régulationniste.</w:t>
      </w:r>
    </w:p>
    <w:p w14:paraId="69843B08" w14:textId="77777777" w:rsidR="007C1A0D" w:rsidRDefault="007C1A0D" w:rsidP="007C1A0D">
      <w:pPr>
        <w:pStyle w:val="Bibliographie"/>
        <w:rPr>
          <w:rFonts w:cs="Times New Roman"/>
          <w:kern w:val="0"/>
        </w:rPr>
      </w:pPr>
      <w:r>
        <w:rPr>
          <w:rFonts w:cs="Times New Roman"/>
          <w:kern w:val="0"/>
        </w:rPr>
        <w:t>Purseigle, F., Nguyen, G., &amp; Blanc, P. (2017). Le nouveau capitalisme agricole : De la ferme à la firme. Paris: Sciences po, les presses.</w:t>
      </w:r>
    </w:p>
    <w:p w14:paraId="10D98830" w14:textId="77777777" w:rsidR="007C1A0D" w:rsidRPr="009A77E6" w:rsidRDefault="007C1A0D" w:rsidP="007C1A0D">
      <w:pPr>
        <w:pStyle w:val="Bibliographie"/>
        <w:rPr>
          <w:rFonts w:cs="Times New Roman"/>
          <w:kern w:val="0"/>
          <w:lang w:val="en-US"/>
        </w:rPr>
      </w:pPr>
      <w:r>
        <w:rPr>
          <w:rFonts w:cs="Times New Roman"/>
          <w:kern w:val="0"/>
        </w:rPr>
        <w:t xml:space="preserve">Retière, J.-N. (2021). Nourrir les pauvres : Les quatre âges de l’aide alimentaire. </w:t>
      </w:r>
      <w:r w:rsidRPr="009A77E6">
        <w:rPr>
          <w:rFonts w:cs="Times New Roman"/>
          <w:kern w:val="0"/>
          <w:lang w:val="en-US"/>
        </w:rPr>
        <w:t>Vie sociale, 36(4), 23‑35.</w:t>
      </w:r>
    </w:p>
    <w:p w14:paraId="044A4A98" w14:textId="77777777" w:rsidR="007C1A0D" w:rsidRDefault="007C1A0D" w:rsidP="007C1A0D">
      <w:pPr>
        <w:pStyle w:val="Bibliographie"/>
        <w:rPr>
          <w:rFonts w:cs="Times New Roman"/>
          <w:kern w:val="0"/>
        </w:rPr>
      </w:pPr>
      <w:r w:rsidRPr="009A77E6">
        <w:rPr>
          <w:rFonts w:cs="Times New Roman"/>
          <w:kern w:val="0"/>
          <w:lang w:val="en-US"/>
        </w:rPr>
        <w:t xml:space="preserve">Sauer, S., &amp; Mészáros, G. (2017). The political economy of land struggle in Brazil under Workers’ Party governments. </w:t>
      </w:r>
      <w:r>
        <w:rPr>
          <w:rFonts w:cs="Times New Roman"/>
          <w:kern w:val="0"/>
        </w:rPr>
        <w:t>Journal of Agrarian Change, 17, 397‑414.</w:t>
      </w:r>
    </w:p>
    <w:p w14:paraId="311C62B1" w14:textId="77777777" w:rsidR="007C1A0D" w:rsidRDefault="007C1A0D" w:rsidP="007C1A0D">
      <w:pPr>
        <w:pStyle w:val="Bibliographie"/>
        <w:rPr>
          <w:rFonts w:cs="Times New Roman"/>
          <w:kern w:val="0"/>
        </w:rPr>
      </w:pPr>
      <w:r>
        <w:rPr>
          <w:rFonts w:cs="Times New Roman"/>
          <w:kern w:val="0"/>
        </w:rPr>
        <w:t>Scott, J. C. (2019). Homo domesticus—Une histoire profonde des premiers Etats. Traduction par M. Saint-Upéry, Paris: La découverte.</w:t>
      </w:r>
    </w:p>
    <w:p w14:paraId="2902DFFE" w14:textId="77777777" w:rsidR="007C1A0D" w:rsidRDefault="007C1A0D" w:rsidP="007C1A0D">
      <w:pPr>
        <w:pStyle w:val="Bibliographie"/>
        <w:rPr>
          <w:rFonts w:cs="Times New Roman"/>
          <w:kern w:val="0"/>
        </w:rPr>
      </w:pPr>
      <w:r>
        <w:rPr>
          <w:rFonts w:cs="Times New Roman"/>
          <w:kern w:val="0"/>
        </w:rPr>
        <w:t>Sencebe, Y., &amp; Pinton, F. (2020). 4. Gouverner la sécurité alimentaire au Brésil, une approche sociale et participative des politiques alimentaires. Dans È. Fouilleux &amp; L. Michel (Éds), Quand l’alimentation se fait politique(s) (pp. 103‑121). Rennes: Presses universitaires de Rennes.</w:t>
      </w:r>
    </w:p>
    <w:p w14:paraId="6E57D5E2" w14:textId="77777777" w:rsidR="007C1A0D" w:rsidRPr="009A77E6" w:rsidRDefault="007C1A0D" w:rsidP="007C1A0D">
      <w:pPr>
        <w:pStyle w:val="Bibliographie"/>
        <w:rPr>
          <w:rFonts w:cs="Times New Roman"/>
          <w:kern w:val="0"/>
          <w:lang w:val="en-US"/>
        </w:rPr>
      </w:pPr>
      <w:r>
        <w:rPr>
          <w:rFonts w:cs="Times New Roman"/>
          <w:kern w:val="0"/>
        </w:rPr>
        <w:t xml:space="preserve">Singer, A. (2009). Raízes sociais e ideológicas do lulismo. </w:t>
      </w:r>
      <w:r w:rsidRPr="009A77E6">
        <w:rPr>
          <w:rFonts w:cs="Times New Roman"/>
          <w:kern w:val="0"/>
          <w:lang w:val="en-US"/>
        </w:rPr>
        <w:t>Novos estudos CEBRAP, 83‑102.</w:t>
      </w:r>
    </w:p>
    <w:p w14:paraId="3AB52B4C" w14:textId="77777777" w:rsidR="007C1A0D" w:rsidRDefault="007C1A0D" w:rsidP="007C1A0D">
      <w:pPr>
        <w:pStyle w:val="Bibliographie"/>
        <w:rPr>
          <w:rFonts w:cs="Times New Roman"/>
          <w:kern w:val="0"/>
        </w:rPr>
      </w:pPr>
      <w:r w:rsidRPr="009A77E6">
        <w:rPr>
          <w:rFonts w:cs="Times New Roman"/>
          <w:kern w:val="0"/>
          <w:lang w:val="en-US"/>
        </w:rPr>
        <w:t xml:space="preserve">Tausch, L., &amp; Althouse, J. (2025). Ecologically unequal exchange (EUE) as a multi-tiered hierarchy : Investigating the interdependence of global and domestic environmental inequalities to explain China’s rise. </w:t>
      </w:r>
      <w:r>
        <w:rPr>
          <w:rFonts w:cs="Times New Roman"/>
          <w:kern w:val="0"/>
        </w:rPr>
        <w:t>Ecological Economics, 235, 108644.</w:t>
      </w:r>
    </w:p>
    <w:p w14:paraId="534AE789" w14:textId="77777777" w:rsidR="007C1A0D" w:rsidRDefault="007C1A0D" w:rsidP="007C1A0D">
      <w:pPr>
        <w:pStyle w:val="Bibliographie"/>
        <w:rPr>
          <w:rFonts w:cs="Times New Roman"/>
          <w:kern w:val="0"/>
        </w:rPr>
      </w:pPr>
      <w:r>
        <w:rPr>
          <w:rFonts w:cs="Times New Roman"/>
          <w:kern w:val="0"/>
        </w:rPr>
        <w:t>Théret, B. (1996). Les structures élémentaires de la protection sociale. Revue française des affaires sociales, Vol. 50, n°4.</w:t>
      </w:r>
    </w:p>
    <w:p w14:paraId="7BA1664E" w14:textId="77777777" w:rsidR="007C1A0D" w:rsidRPr="009A77E6" w:rsidRDefault="007C1A0D" w:rsidP="007C1A0D">
      <w:pPr>
        <w:pStyle w:val="Bibliographie"/>
        <w:rPr>
          <w:rFonts w:cs="Times New Roman"/>
          <w:kern w:val="0"/>
          <w:lang w:val="en-US"/>
        </w:rPr>
      </w:pPr>
      <w:r>
        <w:rPr>
          <w:rFonts w:cs="Times New Roman"/>
          <w:kern w:val="0"/>
        </w:rPr>
        <w:t xml:space="preserve">Théret, B. (1997). Méthodologie des comparaisons internationales, approches de l’effet sociétal de la régulation : Fondements pour une lecture structuraliste des systèmes nationaux de protection sociale. </w:t>
      </w:r>
      <w:r w:rsidRPr="009A77E6">
        <w:rPr>
          <w:rFonts w:cs="Times New Roman"/>
          <w:kern w:val="0"/>
          <w:lang w:val="en-US"/>
        </w:rPr>
        <w:t>L’Année de la Régulation, 1, 163‑228.</w:t>
      </w:r>
    </w:p>
    <w:p w14:paraId="79DEC1FB" w14:textId="77777777" w:rsidR="007C1A0D" w:rsidRPr="009A77E6" w:rsidRDefault="007C1A0D" w:rsidP="007C1A0D">
      <w:pPr>
        <w:pStyle w:val="Bibliographie"/>
        <w:rPr>
          <w:rFonts w:cs="Times New Roman"/>
          <w:kern w:val="0"/>
          <w:lang w:val="en-US"/>
        </w:rPr>
      </w:pPr>
      <w:r w:rsidRPr="009A77E6">
        <w:rPr>
          <w:rFonts w:cs="Times New Roman"/>
          <w:kern w:val="0"/>
          <w:lang w:val="en-US"/>
        </w:rPr>
        <w:t>Thompson, E. P. (1971). The Moral Economy of the English Crowd in the Eighteenth Century. Past &amp; Present, (50), 76‑136.</w:t>
      </w:r>
    </w:p>
    <w:p w14:paraId="71C4BFEE" w14:textId="77777777" w:rsidR="007C1A0D" w:rsidRPr="009A77E6" w:rsidRDefault="007C1A0D" w:rsidP="007C1A0D">
      <w:pPr>
        <w:pStyle w:val="Bibliographie"/>
        <w:rPr>
          <w:rFonts w:cs="Times New Roman"/>
          <w:kern w:val="0"/>
          <w:lang w:val="en-US"/>
        </w:rPr>
      </w:pPr>
      <w:r w:rsidRPr="009A77E6">
        <w:rPr>
          <w:rFonts w:cs="Times New Roman"/>
          <w:kern w:val="0"/>
          <w:lang w:val="en-US"/>
        </w:rPr>
        <w:t>Tilly, C. (1974). Food Supply and Public Order in Modern Europe. (S.l.): (s.n.). (Google-Books-ID: t0kzGwAACAAJ).</w:t>
      </w:r>
    </w:p>
    <w:p w14:paraId="2403F025" w14:textId="77777777" w:rsidR="007C1A0D" w:rsidRPr="009A77E6" w:rsidRDefault="007C1A0D" w:rsidP="007C1A0D">
      <w:pPr>
        <w:pStyle w:val="Bibliographie"/>
        <w:rPr>
          <w:rFonts w:cs="Times New Roman"/>
          <w:kern w:val="0"/>
          <w:lang w:val="en-US"/>
        </w:rPr>
      </w:pPr>
      <w:r w:rsidRPr="009A77E6">
        <w:rPr>
          <w:rFonts w:cs="Times New Roman"/>
          <w:kern w:val="0"/>
          <w:lang w:val="en-US"/>
        </w:rPr>
        <w:t>van der Ploeg, J. D. (2008). The New Peasantries, struggles for autonomy and sustainability in an era of empire and globalization. (S.l.): Earthscan.</w:t>
      </w:r>
    </w:p>
    <w:p w14:paraId="46207775" w14:textId="77777777" w:rsidR="007C1A0D" w:rsidRPr="009A77E6" w:rsidRDefault="007C1A0D" w:rsidP="007C1A0D">
      <w:pPr>
        <w:pStyle w:val="Bibliographie"/>
        <w:rPr>
          <w:rFonts w:cs="Times New Roman"/>
          <w:kern w:val="0"/>
          <w:lang w:val="en-US"/>
        </w:rPr>
      </w:pPr>
      <w:r w:rsidRPr="009A77E6">
        <w:rPr>
          <w:rFonts w:cs="Times New Roman"/>
          <w:kern w:val="0"/>
          <w:lang w:val="en-US"/>
        </w:rPr>
        <w:t>van der Ploeg, Jan Douwe. (2018). From de-to repeasantization : The modernization of agriculture revisited. Journal of Rural Studies, 61, 236‑243.</w:t>
      </w:r>
    </w:p>
    <w:p w14:paraId="6693B04C" w14:textId="77777777" w:rsidR="007C1A0D" w:rsidRPr="009A77E6" w:rsidRDefault="007C1A0D" w:rsidP="007C1A0D">
      <w:pPr>
        <w:pStyle w:val="Bibliographie"/>
        <w:rPr>
          <w:rFonts w:cs="Times New Roman"/>
          <w:kern w:val="0"/>
          <w:lang w:val="en-US"/>
        </w:rPr>
      </w:pPr>
      <w:r w:rsidRPr="009A77E6">
        <w:rPr>
          <w:rFonts w:cs="Times New Roman"/>
          <w:kern w:val="0"/>
          <w:lang w:val="en-US"/>
        </w:rPr>
        <w:t>van der Ploeg, Jan Douwe, &amp; Schneider, S. (2022). Autonomy as a politico-economic concept : Peasant practices and nested markets. Journal of Agrarian Change, 22(3), 529‑546.</w:t>
      </w:r>
    </w:p>
    <w:p w14:paraId="4ADF49EC" w14:textId="77777777" w:rsidR="007C1A0D" w:rsidRPr="009A77E6" w:rsidRDefault="007C1A0D" w:rsidP="007C1A0D">
      <w:pPr>
        <w:pStyle w:val="Bibliographie"/>
        <w:rPr>
          <w:rFonts w:cs="Times New Roman"/>
          <w:kern w:val="0"/>
          <w:lang w:val="en-US"/>
        </w:rPr>
      </w:pPr>
      <w:r w:rsidRPr="009A77E6">
        <w:rPr>
          <w:rFonts w:cs="Times New Roman"/>
          <w:kern w:val="0"/>
          <w:lang w:val="en-US"/>
        </w:rPr>
        <w:lastRenderedPageBreak/>
        <w:t>Wallerstein, I. (1974). The Modern World-System I : Capitalist Agriculture and the Origins of the European World-Economy in the Sixteenth Century. Berkeley, CA: University of California Press.</w:t>
      </w:r>
    </w:p>
    <w:p w14:paraId="7323B54D" w14:textId="77777777" w:rsidR="007C1A0D" w:rsidRPr="009A77E6" w:rsidRDefault="007C1A0D" w:rsidP="007C1A0D">
      <w:pPr>
        <w:pStyle w:val="Bibliographie"/>
        <w:rPr>
          <w:rFonts w:cs="Times New Roman"/>
          <w:kern w:val="0"/>
          <w:lang w:val="en-US"/>
        </w:rPr>
      </w:pPr>
      <w:r w:rsidRPr="009A77E6">
        <w:rPr>
          <w:rFonts w:cs="Times New Roman"/>
          <w:kern w:val="0"/>
          <w:lang w:val="en-US"/>
        </w:rPr>
        <w:t>Wilkinson, J. (2015). Food security and the global agrifood system : Ethical issues in historical and sociological perspective. Global Food Security, 7, 9‑14.</w:t>
      </w:r>
    </w:p>
    <w:p w14:paraId="3BEF519F" w14:textId="77777777" w:rsidR="007C1A0D" w:rsidRDefault="007C1A0D" w:rsidP="007C1A0D">
      <w:pPr>
        <w:pStyle w:val="Bibliographie"/>
        <w:rPr>
          <w:rFonts w:cs="Times New Roman"/>
          <w:kern w:val="0"/>
        </w:rPr>
      </w:pPr>
      <w:r w:rsidRPr="009A77E6">
        <w:rPr>
          <w:rFonts w:cs="Times New Roman"/>
          <w:kern w:val="0"/>
          <w:lang w:val="en-US"/>
        </w:rPr>
        <w:t xml:space="preserve">Wittman, H., &amp; Blesh, J. (2017). Food Sovereignty and Fome Zero : Connecting Public Food Procurement Programmes to Sustainable Rural Development in Brazil. </w:t>
      </w:r>
      <w:r>
        <w:rPr>
          <w:rFonts w:cs="Times New Roman"/>
          <w:kern w:val="0"/>
        </w:rPr>
        <w:t>Journal of Agrarian Change, 17(1), 81‑105.</w:t>
      </w:r>
    </w:p>
    <w:p w14:paraId="643FD6A4" w14:textId="109536D0" w:rsidR="00520689" w:rsidRDefault="00634E69" w:rsidP="00DE582A">
      <w:pPr>
        <w:spacing w:line="240" w:lineRule="auto"/>
      </w:pPr>
      <w:r>
        <w:fldChar w:fldCharType="end"/>
      </w:r>
      <w:r w:rsidR="00883D83">
        <w:t xml:space="preserve"> </w:t>
      </w:r>
    </w:p>
    <w:p w14:paraId="502086CE" w14:textId="64D19B7D" w:rsidR="00795B5A" w:rsidRDefault="00795B5A" w:rsidP="00520689">
      <w:pPr>
        <w:pStyle w:val="Titre2"/>
      </w:pPr>
      <w:r>
        <w:t>Anexo</w:t>
      </w:r>
    </w:p>
    <w:p w14:paraId="74B2E79D" w14:textId="77777777" w:rsidR="00461F0C" w:rsidRDefault="00461F0C" w:rsidP="00461F0C"/>
    <w:p w14:paraId="16C2041C" w14:textId="43AA9428" w:rsidR="00461F0C" w:rsidRDefault="00461F0C" w:rsidP="00461F0C">
      <w:pPr>
        <w:pStyle w:val="Lgende"/>
        <w:keepNext/>
        <w:jc w:val="center"/>
      </w:pPr>
      <w:bookmarkStart w:id="4" w:name="_Ref225030467"/>
      <w:r>
        <w:t>Tabela A</w:t>
      </w:r>
      <w:r w:rsidR="00502890">
        <w:t/>
      </w:r>
      <w:fldSimple w:instr=" SEQ Tableau \* ARABIC ">
        <w:r>
          <w:rPr>
            <w:noProof/>
          </w:rPr>
          <w:t>1</w:t>
        </w:r>
      </w:fldSimple>
      <w:bookmarkEnd w:id="4"/>
      <w:r>
        <w:t xml:space="preserve"> - Descrição dos instrumentos de políticas públicas constitutivos dos SNPSA francês e brasileiro. Fontes: </w:t>
      </w:r>
      <w:r>
        <w:fldChar w:fldCharType="begin"/>
      </w:r>
      <w:r w:rsidR="00FF6333">
        <w:instrText xml:space="preserve"> ADDIN ZOTERO_ITEM CSL_CITATION {"citationID":"4vs9I9z1","properties":{"formattedCitation":"(Delouette et al., 2025; Sencebe &amp; Pinton, 2020)","plainCitation":"(Delouette et al., 2025; Sencebe &amp; Pinton, 2020)","noteIndex":0},"citationItems":[{"id":5258,"uris":["http://zotero.org/users/10222123/items/DRT9AAKU"],"itemData":{"id":5258,"type":"chapter","citation-key":"sencebe4GouvernerSecurite2020","collection-title":"Res publica","container-title":"Quand l’alimentation se fait politique(s)","DOI":"10.4000/books.pur.146050","ISBN":"978-2-7535-8562-1","language":"fr","license":"https://www.openedition.org/12554","page":"103-121","publisher":"Presses universitaires de Rennes","publisher-place":"Rennes","source":"OpenEdition Books","title":"4. Gouverner la sécurité alimentaire au Brésil, une approche sociale et participative des politiques alimentaires","URL":"https://books.openedition.org/pur/146050","author":[{"family":"Sencebe","given":"Yannick"},{"family":"Pinton","given":"Florence"}],"editor":[{"family":"Fouilleux","given":"Ève"},{"family":"Michel","given":"Laura"}],"accessed":{"date-parts":[["2024",11,8]]},"issued":{"date-parts":[["2020"]]}}},{"id":13881,"uris":["http://zotero.org/users/10222123/items/N9IN8JZH"],"itemData":{"id":13881,"type":"article-journal","citation-key":"delouetteProtectionSocialeLalimentation2025","container-title":"Revue française des affaires sociales","ISSN":"0035-2985","issue":"4","language":"fr","page":"209-230","publisher":"DREES Ministère de la santé","source":"shs.cairn.info","title":"Protection sociale de l’alimentation : l’enjeu des financements pour construire des communs socio-écologiques","title-short":"Protection sociale de l’alimentation","volume":"254","author":[{"family":"Delouette","given":"Ilona"},{"family":"Vasseur","given":"Cécile"},{"family":"Pates","given":"Collectif"}],"issued":{"date-parts":[["2025"]]}}}],"schema":"https://github.com/citation-style-language/schema/raw/master/csl-citation.json"} </w:instrText>
      </w:r>
      <w:r>
        <w:fldChar w:fldCharType="separate"/>
      </w:r>
      <w:r w:rsidR="00255717" w:rsidRPr="00255717">
        <w:rPr>
          <w:rFonts w:cs="Times New Roman"/>
        </w:rPr>
        <w:t>(Delouette et al., 2025; Sencebe &amp; Pinton, 2020)</w:t>
      </w:r>
      <w: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402"/>
        <w:gridCol w:w="3969"/>
      </w:tblGrid>
      <w:tr w:rsidR="00461F0C" w:rsidRPr="001824F1" w14:paraId="06B4EFE7" w14:textId="77777777" w:rsidTr="00A24171">
        <w:trPr>
          <w:tblHeader/>
          <w:tblCellSpacing w:w="15" w:type="dxa"/>
        </w:trPr>
        <w:tc>
          <w:tcPr>
            <w:tcW w:w="1656" w:type="dxa"/>
            <w:tcBorders>
              <w:bottom w:val="single" w:sz="4" w:space="0" w:color="auto"/>
            </w:tcBorders>
            <w:vAlign w:val="center"/>
            <w:hideMark/>
          </w:tcPr>
          <w:p w14:paraId="2C245B26" w14:textId="77777777" w:rsidR="00461F0C" w:rsidRPr="001824F1" w:rsidRDefault="00461F0C" w:rsidP="00A24171">
            <w:pPr>
              <w:jc w:val="both"/>
              <w:rPr>
                <w:rFonts w:cs="Times New Roman"/>
                <w:b/>
                <w:bCs/>
                <w:sz w:val="20"/>
                <w:szCs w:val="20"/>
              </w:rPr>
            </w:pPr>
            <w:r w:rsidRPr="001824F1">
              <w:rPr>
                <w:rFonts w:cs="Times New Roman"/>
                <w:b/>
                <w:bCs/>
                <w:sz w:val="20"/>
                <w:szCs w:val="20"/>
              </w:rPr>
              <w:t>Setor da ação pública</w:t>
            </w:r>
          </w:p>
        </w:tc>
        <w:tc>
          <w:tcPr>
            <w:tcW w:w="3372" w:type="dxa"/>
            <w:tcBorders>
              <w:bottom w:val="single" w:sz="4" w:space="0" w:color="auto"/>
            </w:tcBorders>
            <w:vAlign w:val="center"/>
            <w:hideMark/>
          </w:tcPr>
          <w:p w14:paraId="09C98465" w14:textId="77777777" w:rsidR="00461F0C" w:rsidRPr="001824F1" w:rsidRDefault="00461F0C" w:rsidP="00A24171">
            <w:pPr>
              <w:jc w:val="both"/>
              <w:rPr>
                <w:rFonts w:cs="Times New Roman"/>
                <w:b/>
                <w:bCs/>
                <w:sz w:val="20"/>
                <w:szCs w:val="20"/>
              </w:rPr>
            </w:pPr>
            <w:r w:rsidRPr="001824F1">
              <w:rPr>
                <w:rFonts w:cs="Times New Roman"/>
                <w:b/>
                <w:bCs/>
                <w:sz w:val="20"/>
                <w:szCs w:val="20"/>
              </w:rPr>
              <w:t>França</w:t>
            </w:r>
          </w:p>
        </w:tc>
        <w:tc>
          <w:tcPr>
            <w:tcW w:w="3924" w:type="dxa"/>
            <w:tcBorders>
              <w:bottom w:val="single" w:sz="4" w:space="0" w:color="auto"/>
            </w:tcBorders>
            <w:vAlign w:val="center"/>
            <w:hideMark/>
          </w:tcPr>
          <w:p w14:paraId="12E8C407" w14:textId="77777777" w:rsidR="00461F0C" w:rsidRPr="001824F1" w:rsidRDefault="00461F0C" w:rsidP="00A24171">
            <w:pPr>
              <w:jc w:val="both"/>
              <w:rPr>
                <w:rFonts w:cs="Times New Roman"/>
                <w:b/>
                <w:bCs/>
                <w:sz w:val="20"/>
                <w:szCs w:val="20"/>
              </w:rPr>
            </w:pPr>
            <w:r w:rsidRPr="001824F1">
              <w:rPr>
                <w:rFonts w:cs="Times New Roman"/>
                <w:b/>
                <w:bCs/>
                <w:sz w:val="20"/>
                <w:szCs w:val="20"/>
              </w:rPr>
              <w:t>Brasil</w:t>
            </w:r>
          </w:p>
        </w:tc>
      </w:tr>
      <w:tr w:rsidR="00461F0C" w:rsidRPr="001824F1" w14:paraId="76CF447B" w14:textId="77777777" w:rsidTr="00A24171">
        <w:trPr>
          <w:tblCellSpacing w:w="15" w:type="dxa"/>
        </w:trPr>
        <w:tc>
          <w:tcPr>
            <w:tcW w:w="1656" w:type="dxa"/>
            <w:vAlign w:val="center"/>
            <w:hideMark/>
          </w:tcPr>
          <w:p w14:paraId="66641C99" w14:textId="77777777" w:rsidR="00461F0C" w:rsidRPr="001824F1" w:rsidRDefault="00461F0C" w:rsidP="00A24171">
            <w:pPr>
              <w:rPr>
                <w:rFonts w:cs="Times New Roman"/>
                <w:sz w:val="20"/>
                <w:szCs w:val="20"/>
              </w:rPr>
            </w:pPr>
            <w:r w:rsidRPr="001824F1">
              <w:rPr>
                <w:rFonts w:cs="Times New Roman"/>
                <w:b/>
                <w:bCs/>
                <w:sz w:val="20"/>
                <w:szCs w:val="20"/>
              </w:rPr>
              <w:t>1. Compras públicas / prestação de um serviço público</w:t>
            </w:r>
          </w:p>
        </w:tc>
        <w:tc>
          <w:tcPr>
            <w:tcW w:w="3372" w:type="dxa"/>
            <w:vAlign w:val="center"/>
            <w:hideMark/>
          </w:tcPr>
          <w:p w14:paraId="29AA15D1" w14:textId="77777777" w:rsidR="00461F0C" w:rsidRPr="00552E0B" w:rsidRDefault="00461F0C" w:rsidP="00A24171">
            <w:pPr>
              <w:jc w:val="both"/>
              <w:rPr>
                <w:rFonts w:cs="Times New Roman"/>
                <w:sz w:val="20"/>
                <w:szCs w:val="20"/>
              </w:rPr>
            </w:pPr>
            <w:r w:rsidRPr="00552E0B">
              <w:rPr>
                <w:rFonts w:cs="Times New Roman"/>
                <w:sz w:val="20"/>
                <w:szCs w:val="20"/>
              </w:rPr>
              <w:t>Serviços públicos de alimentação coletiva (cantinas escolares, hospitais, administrações) regulamentados pela EGAlim. Programme Lait et fruits à l’école. Abastecimentos territorializados por meio de alguns PAT (Projets Alimentaires Territoriaux).</w:t>
            </w:r>
            <w:proofErr w:type="spellStart"/>
            <w:r w:rsidRPr="00552E0B">
              <w:rPr>
                <w:rFonts w:cs="Times New Roman"/>
                <w:sz w:val="20"/>
                <w:szCs w:val="20"/>
              </w:rPr>
              <w:t/>
            </w:r>
            <w:proofErr w:type="spellEnd"/>
            <w:r w:rsidRPr="00552E0B">
              <w:rPr>
                <w:rFonts w:cs="Times New Roman"/>
                <w:sz w:val="20"/>
                <w:szCs w:val="20"/>
              </w:rPr>
              <w:t/>
            </w:r>
          </w:p>
        </w:tc>
        <w:tc>
          <w:tcPr>
            <w:tcW w:w="3924" w:type="dxa"/>
            <w:vAlign w:val="center"/>
            <w:hideMark/>
          </w:tcPr>
          <w:p w14:paraId="7D13AC8B" w14:textId="001B69BE" w:rsidR="00461F0C" w:rsidRPr="00552E0B" w:rsidRDefault="00461F0C" w:rsidP="00A24171">
            <w:pPr>
              <w:jc w:val="both"/>
              <w:rPr>
                <w:rFonts w:cs="Times New Roman"/>
                <w:sz w:val="20"/>
                <w:szCs w:val="20"/>
              </w:rPr>
            </w:pPr>
            <w:r w:rsidRPr="00552E0B">
              <w:rPr>
                <w:rFonts w:cs="Times New Roman"/>
                <w:sz w:val="20"/>
                <w:szCs w:val="20"/>
              </w:rPr>
              <w:t>PNAE (Programa Nacional de Alimentação Escolar). PAA (Programa de Aquisição de Alimentos) quando abastece instituições ou públicos específicos. Articulação com equipamentos públicos de segurança alimentar.</w:t>
            </w:r>
            <w:r>
              <w:rPr>
                <w:rFonts w:cs="Times New Roman"/>
                <w:sz w:val="20"/>
                <w:szCs w:val="20"/>
              </w:rPr>
              <w:t/>
            </w:r>
            <w:r w:rsidRPr="00552E0B">
              <w:rPr>
                <w:rFonts w:cs="Times New Roman"/>
                <w:sz w:val="20"/>
                <w:szCs w:val="20"/>
              </w:rPr>
              <w:t/>
            </w:r>
            <w:r>
              <w:rPr>
                <w:rFonts w:cs="Times New Roman"/>
                <w:sz w:val="20"/>
                <w:szCs w:val="20"/>
              </w:rPr>
              <w:t/>
            </w:r>
            <w:r w:rsidRPr="00552E0B">
              <w:rPr>
                <w:rFonts w:cs="Times New Roman"/>
                <w:sz w:val="20"/>
                <w:szCs w:val="20"/>
              </w:rPr>
              <w:t/>
            </w:r>
            <w:r w:rsidR="00FF6333">
              <w:rPr>
                <w:rFonts w:cs="Times New Roman"/>
                <w:sz w:val="20"/>
                <w:szCs w:val="20"/>
              </w:rPr>
              <w:t/>
            </w:r>
            <w:r w:rsidRPr="00552E0B">
              <w:rPr>
                <w:rFonts w:cs="Times New Roman"/>
                <w:sz w:val="20"/>
                <w:szCs w:val="20"/>
              </w:rPr>
              <w:t/>
            </w:r>
          </w:p>
        </w:tc>
      </w:tr>
      <w:tr w:rsidR="00461F0C" w:rsidRPr="001824F1" w14:paraId="76CA7E93" w14:textId="77777777" w:rsidTr="00A24171">
        <w:trPr>
          <w:tblCellSpacing w:w="15" w:type="dxa"/>
        </w:trPr>
        <w:tc>
          <w:tcPr>
            <w:tcW w:w="1656" w:type="dxa"/>
            <w:vAlign w:val="center"/>
            <w:hideMark/>
          </w:tcPr>
          <w:p w14:paraId="088329C8" w14:textId="77777777" w:rsidR="00461F0C" w:rsidRPr="001824F1" w:rsidRDefault="00461F0C" w:rsidP="00A24171">
            <w:pPr>
              <w:rPr>
                <w:rFonts w:cs="Times New Roman"/>
                <w:sz w:val="20"/>
                <w:szCs w:val="20"/>
              </w:rPr>
            </w:pPr>
            <w:r w:rsidRPr="001824F1">
              <w:rPr>
                <w:rFonts w:cs="Times New Roman"/>
                <w:b/>
                <w:bCs/>
                <w:sz w:val="20"/>
                <w:szCs w:val="20"/>
              </w:rPr>
              <w:t>2. Política assistencial / da demanda</w:t>
            </w:r>
          </w:p>
        </w:tc>
        <w:tc>
          <w:tcPr>
            <w:tcW w:w="3372" w:type="dxa"/>
            <w:vAlign w:val="center"/>
            <w:hideMark/>
          </w:tcPr>
          <w:p w14:paraId="2AE6A451" w14:textId="3E796F3E" w:rsidR="00461F0C" w:rsidRPr="00552E0B" w:rsidRDefault="00461F0C" w:rsidP="00A24171">
            <w:pPr>
              <w:jc w:val="both"/>
              <w:rPr>
                <w:rFonts w:cs="Times New Roman"/>
                <w:sz w:val="20"/>
                <w:szCs w:val="20"/>
              </w:rPr>
            </w:pPr>
            <w:r w:rsidRPr="00552E0B">
              <w:rPr>
                <w:rFonts w:cs="Times New Roman"/>
                <w:sz w:val="20"/>
                <w:szCs w:val="20"/>
              </w:rPr>
              <w:t>Ajuda alimentar prestada por associações habilitadas (Banques alimentaires, Restos du Cœur, Croix-Rouge, Secours populaire). Mercearias sociais. Tarifação social das cantinas. Mais indiretamente, o RSA como apoio monetário às famílias pobres.</w:t>
            </w:r>
            <w:r w:rsidR="00FF6333" w:rsidRPr="00552E0B">
              <w:rPr>
                <w:rFonts w:cs="Times New Roman"/>
                <w:sz w:val="20"/>
                <w:szCs w:val="20"/>
              </w:rPr>
              <w:t/>
            </w:r>
            <w:r w:rsidRPr="00552E0B">
              <w:rPr>
                <w:rFonts w:cs="Times New Roman"/>
                <w:sz w:val="20"/>
                <w:szCs w:val="20"/>
              </w:rPr>
              <w:t/>
            </w:r>
          </w:p>
        </w:tc>
        <w:tc>
          <w:tcPr>
            <w:tcW w:w="3924" w:type="dxa"/>
            <w:vAlign w:val="center"/>
            <w:hideMark/>
          </w:tcPr>
          <w:p w14:paraId="6D3A75EA" w14:textId="77777777" w:rsidR="00461F0C" w:rsidRPr="00552E0B" w:rsidRDefault="00461F0C" w:rsidP="00A24171">
            <w:pPr>
              <w:jc w:val="both"/>
              <w:rPr>
                <w:rFonts w:cs="Times New Roman"/>
                <w:sz w:val="20"/>
                <w:szCs w:val="20"/>
              </w:rPr>
            </w:pPr>
            <w:proofErr w:type="spellStart"/>
            <w:r w:rsidRPr="000865E3">
              <w:rPr>
                <w:rFonts w:cs="Times New Roman"/>
                <w:i/>
                <w:iCs/>
                <w:sz w:val="20"/>
                <w:szCs w:val="20"/>
              </w:rPr>
              <w:t xml:space="preserve">Bolsa Família </w:t>
            </w:r>
            <w:proofErr w:type="spellEnd"/>
            <w:r w:rsidRPr="000865E3">
              <w:rPr>
                <w:rFonts w:cs="Times New Roman"/>
                <w:i/>
                <w:iCs/>
                <w:sz w:val="20"/>
                <w:szCs w:val="20"/>
              </w:rPr>
              <w:t/>
            </w:r>
            <w:proofErr w:type="spellStart"/>
            <w:r w:rsidRPr="000865E3">
              <w:rPr>
                <w:rFonts w:cs="Times New Roman"/>
                <w:i/>
                <w:iCs/>
                <w:sz w:val="20"/>
                <w:szCs w:val="20"/>
              </w:rPr>
              <w:t/>
            </w:r>
            <w:proofErr w:type="spellEnd"/>
            <w:r>
              <w:rPr>
                <w:rFonts w:cs="Times New Roman"/>
                <w:i/>
                <w:iCs/>
                <w:sz w:val="20"/>
                <w:szCs w:val="20"/>
              </w:rPr>
              <w:t/>
            </w:r>
            <w:r w:rsidRPr="000865E3">
              <w:rPr>
                <w:rFonts w:cs="Times New Roman"/>
                <w:sz w:val="20"/>
                <w:szCs w:val="20"/>
              </w:rPr>
              <w:t xml:space="preserve">(transferência monetária condicionada recebida por 25% da população brasileira). </w:t>
            </w:r>
            <w:r>
              <w:rPr>
                <w:rFonts w:cs="Times New Roman"/>
                <w:sz w:val="20"/>
                <w:szCs w:val="20"/>
              </w:rPr>
              <w:t/>
            </w:r>
            <w:r w:rsidRPr="000865E3">
              <w:rPr>
                <w:rFonts w:cs="Times New Roman"/>
                <w:sz w:val="20"/>
                <w:szCs w:val="20"/>
              </w:rPr>
              <w:t/>
            </w:r>
            <w:r w:rsidRPr="00552E0B">
              <w:rPr>
                <w:rFonts w:cs="Times New Roman"/>
                <w:sz w:val="20"/>
                <w:szCs w:val="20"/>
              </w:rPr>
              <w:t/>
            </w:r>
            <w:r w:rsidRPr="000B64B7">
              <w:rPr>
                <w:rFonts w:cs="Times New Roman"/>
                <w:i/>
                <w:iCs/>
                <w:sz w:val="20"/>
                <w:szCs w:val="20"/>
              </w:rPr>
              <w:t>Bancos de Alimentos</w:t>
            </w:r>
            <w:proofErr w:type="spellStart"/>
            <w:r w:rsidRPr="000B64B7">
              <w:rPr>
                <w:rFonts w:cs="Times New Roman"/>
                <w:i/>
                <w:iCs/>
                <w:sz w:val="20"/>
                <w:szCs w:val="20"/>
              </w:rPr>
              <w:t/>
            </w:r>
            <w:proofErr w:type="spellEnd"/>
            <w:r w:rsidRPr="00552E0B">
              <w:rPr>
                <w:rFonts w:cs="Times New Roman"/>
                <w:sz w:val="20"/>
                <w:szCs w:val="20"/>
              </w:rPr>
              <w:t xml:space="preserve">. </w:t>
            </w:r>
            <w:proofErr w:type="spellStart"/>
            <w:r w:rsidRPr="000B64B7">
              <w:rPr>
                <w:rFonts w:cs="Times New Roman"/>
                <w:i/>
                <w:iCs/>
                <w:sz w:val="20"/>
                <w:szCs w:val="20"/>
              </w:rPr>
              <w:t>Cozinhas Solidárias</w:t>
            </w:r>
            <w:proofErr w:type="spellEnd"/>
            <w:r w:rsidRPr="000B64B7">
              <w:rPr>
                <w:rFonts w:cs="Times New Roman"/>
                <w:i/>
                <w:iCs/>
                <w:sz w:val="20"/>
                <w:szCs w:val="20"/>
              </w:rPr>
              <w:t/>
            </w:r>
            <w:r w:rsidRPr="00552E0B">
              <w:rPr>
                <w:rFonts w:cs="Times New Roman"/>
                <w:sz w:val="20"/>
                <w:szCs w:val="20"/>
              </w:rPr>
              <w:t xml:space="preserve">. </w:t>
            </w:r>
            <w:proofErr w:type="spellStart"/>
            <w:r w:rsidRPr="000B64B7">
              <w:rPr>
                <w:rFonts w:cs="Times New Roman"/>
                <w:i/>
                <w:iCs/>
                <w:sz w:val="20"/>
                <w:szCs w:val="20"/>
              </w:rPr>
              <w:t>Cozinhas Comunitárias</w:t>
            </w:r>
            <w:proofErr w:type="spellEnd"/>
            <w:r w:rsidRPr="000B64B7">
              <w:rPr>
                <w:rFonts w:cs="Times New Roman"/>
                <w:i/>
                <w:iCs/>
                <w:sz w:val="20"/>
                <w:szCs w:val="20"/>
              </w:rPr>
              <w:t/>
            </w:r>
            <w:proofErr w:type="spellStart"/>
            <w:r w:rsidRPr="000B64B7">
              <w:rPr>
                <w:rFonts w:cs="Times New Roman"/>
                <w:i/>
                <w:iCs/>
                <w:sz w:val="20"/>
                <w:szCs w:val="20"/>
              </w:rPr>
              <w:t/>
            </w:r>
            <w:proofErr w:type="spellEnd"/>
            <w:r w:rsidRPr="00552E0B">
              <w:rPr>
                <w:rFonts w:cs="Times New Roman"/>
                <w:sz w:val="20"/>
                <w:szCs w:val="20"/>
              </w:rPr>
              <w:t xml:space="preserve">. Conforme a cidade, </w:t>
            </w:r>
            <w:proofErr w:type="spellStart"/>
            <w:r w:rsidRPr="000B64B7">
              <w:rPr>
                <w:rFonts w:cs="Times New Roman"/>
                <w:i/>
                <w:iCs/>
                <w:sz w:val="20"/>
                <w:szCs w:val="20"/>
              </w:rPr>
              <w:t>Restaurantes Populares</w:t>
            </w:r>
            <w:proofErr w:type="spellEnd"/>
            <w:r w:rsidRPr="000B64B7">
              <w:rPr>
                <w:rFonts w:cs="Times New Roman"/>
                <w:i/>
                <w:iCs/>
                <w:sz w:val="20"/>
                <w:szCs w:val="20"/>
              </w:rPr>
              <w:t/>
            </w:r>
            <w:r w:rsidRPr="00552E0B">
              <w:rPr>
                <w:rFonts w:cs="Times New Roman"/>
                <w:sz w:val="20"/>
                <w:szCs w:val="20"/>
              </w:rPr>
              <w:t>.</w:t>
            </w:r>
          </w:p>
        </w:tc>
      </w:tr>
      <w:tr w:rsidR="00461F0C" w:rsidRPr="001824F1" w14:paraId="373FB634" w14:textId="77777777" w:rsidTr="00A24171">
        <w:trPr>
          <w:tblCellSpacing w:w="15" w:type="dxa"/>
        </w:trPr>
        <w:tc>
          <w:tcPr>
            <w:tcW w:w="1656" w:type="dxa"/>
            <w:vAlign w:val="center"/>
            <w:hideMark/>
          </w:tcPr>
          <w:p w14:paraId="5166D53F" w14:textId="77777777" w:rsidR="00461F0C" w:rsidRPr="001824F1" w:rsidRDefault="00461F0C" w:rsidP="00A24171">
            <w:pPr>
              <w:rPr>
                <w:rFonts w:cs="Times New Roman"/>
                <w:sz w:val="20"/>
                <w:szCs w:val="20"/>
              </w:rPr>
            </w:pPr>
            <w:r w:rsidRPr="001824F1">
              <w:rPr>
                <w:rFonts w:cs="Times New Roman"/>
                <w:b/>
                <w:bCs/>
                <w:sz w:val="20"/>
                <w:szCs w:val="20"/>
              </w:rPr>
              <w:t>3. Desenvolvimento rural / política da oferta</w:t>
            </w:r>
          </w:p>
        </w:tc>
        <w:tc>
          <w:tcPr>
            <w:tcW w:w="3372" w:type="dxa"/>
            <w:vAlign w:val="center"/>
            <w:hideMark/>
          </w:tcPr>
          <w:p w14:paraId="710FB7DD" w14:textId="77777777" w:rsidR="00461F0C" w:rsidRPr="00552E0B" w:rsidRDefault="00461F0C" w:rsidP="00A24171">
            <w:pPr>
              <w:jc w:val="both"/>
              <w:rPr>
                <w:rFonts w:cs="Times New Roman"/>
                <w:sz w:val="20"/>
                <w:szCs w:val="20"/>
              </w:rPr>
            </w:pPr>
            <w:r w:rsidRPr="00552E0B">
              <w:rPr>
                <w:rFonts w:cs="Times New Roman"/>
                <w:sz w:val="20"/>
                <w:szCs w:val="20"/>
              </w:rPr>
              <w:t>FEADER (Fonds européen agricole pour le développement rural): auxílios à instalação. Apoio às cadeias produtivas locais e a certas infraestruturas territoriais de abastecimento; assistência técnica.</w:t>
            </w:r>
            <w:r>
              <w:rPr>
                <w:rFonts w:cs="Times New Roman"/>
                <w:sz w:val="20"/>
                <w:szCs w:val="20"/>
              </w:rPr>
              <w:t/>
            </w:r>
            <w:r w:rsidRPr="005F1707">
              <w:rPr>
                <w:rFonts w:cs="Times New Roman"/>
                <w:sz w:val="20"/>
                <w:szCs w:val="20"/>
              </w:rPr>
              <w:t/>
            </w:r>
            <w:r>
              <w:rPr>
                <w:rFonts w:cs="Times New Roman"/>
                <w:sz w:val="20"/>
                <w:szCs w:val="20"/>
              </w:rPr>
              <w:t/>
            </w:r>
            <w:r w:rsidRPr="00552E0B">
              <w:rPr>
                <w:rFonts w:cs="Times New Roman"/>
                <w:sz w:val="20"/>
                <w:szCs w:val="20"/>
              </w:rPr>
              <w:t/>
            </w:r>
            <w:r>
              <w:rPr>
                <w:rFonts w:cs="Times New Roman"/>
                <w:sz w:val="20"/>
                <w:szCs w:val="20"/>
              </w:rPr>
              <w:t/>
            </w:r>
            <w:r w:rsidRPr="00552E0B">
              <w:rPr>
                <w:rFonts w:cs="Times New Roman"/>
                <w:sz w:val="20"/>
                <w:szCs w:val="20"/>
              </w:rPr>
              <w:t/>
            </w:r>
            <w:r>
              <w:rPr>
                <w:rFonts w:cs="Times New Roman"/>
                <w:sz w:val="20"/>
                <w:szCs w:val="20"/>
              </w:rPr>
              <w:t/>
            </w:r>
            <w:r w:rsidRPr="00552E0B">
              <w:rPr>
                <w:rFonts w:cs="Times New Roman"/>
                <w:sz w:val="20"/>
                <w:szCs w:val="20"/>
              </w:rPr>
              <w:t/>
            </w:r>
          </w:p>
        </w:tc>
        <w:tc>
          <w:tcPr>
            <w:tcW w:w="3924" w:type="dxa"/>
            <w:vAlign w:val="center"/>
            <w:hideMark/>
          </w:tcPr>
          <w:p w14:paraId="030D7B4C" w14:textId="77777777" w:rsidR="00461F0C" w:rsidRPr="00552E0B" w:rsidRDefault="00461F0C" w:rsidP="00A24171">
            <w:pPr>
              <w:jc w:val="both"/>
              <w:rPr>
                <w:rFonts w:cs="Times New Roman"/>
                <w:sz w:val="20"/>
                <w:szCs w:val="20"/>
              </w:rPr>
            </w:pPr>
            <w:r w:rsidRPr="00552E0B">
              <w:rPr>
                <w:rFonts w:cs="Times New Roman"/>
                <w:sz w:val="20"/>
                <w:szCs w:val="20"/>
              </w:rPr>
              <w:t>PRONAF (crédito rural destinado à agricultura familiar). ATER (Assistência Técnica e Extensão Rural)</w:t>
            </w:r>
            <w:r>
              <w:rPr>
                <w:rFonts w:cs="Times New Roman"/>
                <w:sz w:val="20"/>
                <w:szCs w:val="20"/>
              </w:rPr>
              <w:t/>
            </w:r>
            <w:r w:rsidRPr="00552E0B">
              <w:rPr>
                <w:rFonts w:cs="Times New Roman"/>
                <w:sz w:val="20"/>
                <w:szCs w:val="20"/>
              </w:rPr>
              <w:t/>
            </w:r>
            <w:r>
              <w:rPr>
                <w:rFonts w:cs="Times New Roman"/>
                <w:sz w:val="20"/>
                <w:szCs w:val="20"/>
              </w:rPr>
              <w:t/>
            </w:r>
          </w:p>
        </w:tc>
      </w:tr>
      <w:tr w:rsidR="00461F0C" w:rsidRPr="001824F1" w14:paraId="031682DF" w14:textId="77777777" w:rsidTr="00A24171">
        <w:trPr>
          <w:tblCellSpacing w:w="15" w:type="dxa"/>
        </w:trPr>
        <w:tc>
          <w:tcPr>
            <w:tcW w:w="1656" w:type="dxa"/>
            <w:vAlign w:val="center"/>
            <w:hideMark/>
          </w:tcPr>
          <w:p w14:paraId="223DA716" w14:textId="77777777" w:rsidR="00461F0C" w:rsidRPr="001824F1" w:rsidRDefault="00461F0C" w:rsidP="00A24171">
            <w:pPr>
              <w:rPr>
                <w:rFonts w:cs="Times New Roman"/>
                <w:sz w:val="20"/>
                <w:szCs w:val="20"/>
              </w:rPr>
            </w:pPr>
            <w:r w:rsidRPr="001824F1">
              <w:rPr>
                <w:rFonts w:cs="Times New Roman"/>
                <w:b/>
                <w:bCs/>
                <w:sz w:val="20"/>
                <w:szCs w:val="20"/>
              </w:rPr>
              <w:t>4. Políticas ambientais aplicadas ao sistema alimentar</w:t>
            </w:r>
          </w:p>
        </w:tc>
        <w:tc>
          <w:tcPr>
            <w:tcW w:w="3372" w:type="dxa"/>
            <w:vAlign w:val="center"/>
            <w:hideMark/>
          </w:tcPr>
          <w:p w14:paraId="323FB855" w14:textId="77777777" w:rsidR="00461F0C" w:rsidRPr="00552E0B" w:rsidRDefault="00461F0C" w:rsidP="00A24171">
            <w:pPr>
              <w:jc w:val="both"/>
              <w:rPr>
                <w:rFonts w:cs="Times New Roman"/>
                <w:sz w:val="20"/>
                <w:szCs w:val="20"/>
              </w:rPr>
            </w:pPr>
            <w:proofErr w:type="spellStart"/>
            <w:r w:rsidRPr="00552E0B">
              <w:rPr>
                <w:rFonts w:cs="Times New Roman"/>
                <w:sz w:val="20"/>
                <w:szCs w:val="20"/>
              </w:rPr>
              <w:t>EGAlim (produtos sustentáveis e de qualidade na alimentação coletiva), AGEC e combate ao desperdício. Écophyto, apoio à agricultura orgânica e ao projeto agroecológico.</w:t>
            </w:r>
            <w:proofErr w:type="spellEnd"/>
            <w:r w:rsidRPr="00552E0B">
              <w:rPr>
                <w:rFonts w:cs="Times New Roman"/>
                <w:sz w:val="20"/>
                <w:szCs w:val="20"/>
              </w:rPr>
              <w:t/>
            </w:r>
            <w:r>
              <w:rPr>
                <w:rFonts w:cs="Times New Roman"/>
                <w:sz w:val="20"/>
                <w:szCs w:val="20"/>
              </w:rPr>
              <w:t/>
            </w:r>
            <w:r w:rsidRPr="00552E0B">
              <w:rPr>
                <w:rFonts w:cs="Times New Roman"/>
                <w:sz w:val="20"/>
                <w:szCs w:val="20"/>
              </w:rPr>
              <w:t/>
            </w:r>
            <w:r>
              <w:rPr>
                <w:rFonts w:cs="Times New Roman"/>
                <w:sz w:val="20"/>
                <w:szCs w:val="20"/>
              </w:rPr>
              <w:t/>
            </w:r>
            <w:r w:rsidRPr="00552E0B">
              <w:rPr>
                <w:rFonts w:cs="Times New Roman"/>
                <w:sz w:val="20"/>
                <w:szCs w:val="20"/>
              </w:rPr>
              <w:t/>
            </w:r>
            <w:proofErr w:type="spellStart"/>
            <w:r w:rsidRPr="00552E0B">
              <w:rPr>
                <w:rFonts w:cs="Times New Roman"/>
                <w:sz w:val="20"/>
                <w:szCs w:val="20"/>
              </w:rPr>
              <w:t/>
            </w:r>
            <w:proofErr w:type="spellEnd"/>
            <w:r w:rsidRPr="00552E0B">
              <w:rPr>
                <w:rFonts w:cs="Times New Roman"/>
                <w:sz w:val="20"/>
                <w:szCs w:val="20"/>
              </w:rPr>
              <w:t/>
            </w:r>
          </w:p>
        </w:tc>
        <w:tc>
          <w:tcPr>
            <w:tcW w:w="3924" w:type="dxa"/>
            <w:vAlign w:val="center"/>
            <w:hideMark/>
          </w:tcPr>
          <w:p w14:paraId="518F5757" w14:textId="77777777" w:rsidR="00461F0C" w:rsidRPr="00552E0B" w:rsidRDefault="00461F0C" w:rsidP="00A24171">
            <w:pPr>
              <w:jc w:val="both"/>
              <w:rPr>
                <w:rFonts w:cs="Times New Roman"/>
                <w:sz w:val="20"/>
                <w:szCs w:val="20"/>
              </w:rPr>
            </w:pPr>
            <w:r w:rsidRPr="00552E0B">
              <w:rPr>
                <w:rFonts w:cs="Times New Roman"/>
                <w:sz w:val="20"/>
                <w:szCs w:val="20"/>
              </w:rPr>
              <w:t>PNAPO (Política Nacional de Agroecologia e Produção Orgânica). Retomada do PRONARA (Programa Nacional de Redução de Agrotóxicos).</w:t>
            </w:r>
            <w:r>
              <w:rPr>
                <w:rFonts w:cs="Times New Roman"/>
                <w:sz w:val="20"/>
                <w:szCs w:val="20"/>
              </w:rPr>
              <w:t/>
            </w:r>
            <w:r w:rsidRPr="00552E0B">
              <w:rPr>
                <w:rFonts w:cs="Times New Roman"/>
                <w:sz w:val="20"/>
                <w:szCs w:val="20"/>
              </w:rPr>
              <w:t/>
            </w:r>
            <w:r>
              <w:rPr>
                <w:rFonts w:cs="Times New Roman"/>
                <w:sz w:val="20"/>
                <w:szCs w:val="20"/>
              </w:rPr>
              <w:t/>
            </w:r>
            <w:r w:rsidRPr="00552E0B">
              <w:rPr>
                <w:rFonts w:cs="Times New Roman"/>
                <w:sz w:val="20"/>
                <w:szCs w:val="20"/>
              </w:rPr>
              <w:t/>
            </w:r>
          </w:p>
        </w:tc>
      </w:tr>
      <w:tr w:rsidR="00461F0C" w:rsidRPr="001824F1" w14:paraId="745582D5" w14:textId="77777777" w:rsidTr="00A24171">
        <w:trPr>
          <w:tblCellSpacing w:w="15" w:type="dxa"/>
        </w:trPr>
        <w:tc>
          <w:tcPr>
            <w:tcW w:w="1656" w:type="dxa"/>
            <w:vAlign w:val="center"/>
            <w:hideMark/>
          </w:tcPr>
          <w:p w14:paraId="11A74575" w14:textId="77777777" w:rsidR="00461F0C" w:rsidRPr="001824F1" w:rsidRDefault="00461F0C" w:rsidP="00A24171">
            <w:pPr>
              <w:rPr>
                <w:rFonts w:cs="Times New Roman"/>
                <w:sz w:val="20"/>
                <w:szCs w:val="20"/>
              </w:rPr>
            </w:pPr>
            <w:r w:rsidRPr="001824F1">
              <w:rPr>
                <w:rFonts w:cs="Times New Roman"/>
                <w:b/>
                <w:bCs/>
                <w:sz w:val="20"/>
                <w:szCs w:val="20"/>
              </w:rPr>
              <w:t>5. Governança do SNPSA</w:t>
            </w:r>
          </w:p>
        </w:tc>
        <w:tc>
          <w:tcPr>
            <w:tcW w:w="3372" w:type="dxa"/>
            <w:vAlign w:val="center"/>
            <w:hideMark/>
          </w:tcPr>
          <w:p w14:paraId="592065EF" w14:textId="77777777" w:rsidR="00461F0C" w:rsidRPr="00552E0B" w:rsidRDefault="00461F0C" w:rsidP="00A24171">
            <w:pPr>
              <w:jc w:val="both"/>
              <w:rPr>
                <w:rFonts w:cs="Times New Roman"/>
                <w:sz w:val="20"/>
                <w:szCs w:val="20"/>
              </w:rPr>
            </w:pPr>
            <w:r w:rsidRPr="00552E0B">
              <w:rPr>
                <w:rFonts w:cs="Times New Roman"/>
                <w:sz w:val="20"/>
                <w:szCs w:val="20"/>
              </w:rPr>
              <w:t>SNANC (Stratégie nationale pour l’alimentation, la nutrition et le climat), PAT, coordenação entre agricultura, saúde, solidariedade social e coletividades, sem uma arquitetura unificada equivalente ao SISAN.</w:t>
            </w:r>
            <w:r>
              <w:rPr>
                <w:rFonts w:cs="Times New Roman"/>
                <w:sz w:val="20"/>
                <w:szCs w:val="20"/>
              </w:rPr>
              <w:t/>
            </w:r>
            <w:r w:rsidRPr="00552E0B">
              <w:rPr>
                <w:rFonts w:cs="Times New Roman"/>
                <w:sz w:val="20"/>
                <w:szCs w:val="20"/>
              </w:rPr>
              <w:t/>
            </w:r>
          </w:p>
        </w:tc>
        <w:tc>
          <w:tcPr>
            <w:tcW w:w="3924" w:type="dxa"/>
            <w:vAlign w:val="center"/>
            <w:hideMark/>
          </w:tcPr>
          <w:p w14:paraId="4AF356CB" w14:textId="77777777" w:rsidR="00461F0C" w:rsidRPr="00552E0B" w:rsidRDefault="00461F0C" w:rsidP="00A24171">
            <w:pPr>
              <w:jc w:val="both"/>
              <w:rPr>
                <w:rFonts w:cs="Times New Roman"/>
                <w:sz w:val="20"/>
                <w:szCs w:val="20"/>
              </w:rPr>
            </w:pPr>
            <w:r w:rsidRPr="00552E0B">
              <w:rPr>
                <w:rFonts w:cs="Times New Roman"/>
                <w:sz w:val="20"/>
                <w:szCs w:val="20"/>
              </w:rPr>
              <w:t>SISAN (Sistema Nacional de Segurança Alimentar e Nutricional), CONSEA (Conselho Nacional de Segurança Alimentar e Nutricional), conferências de SAN, articulação com PAA, PNAE e equipamentos públicos de alimentação.</w:t>
            </w:r>
            <w:r>
              <w:rPr>
                <w:rFonts w:cs="Times New Roman"/>
                <w:sz w:val="20"/>
                <w:szCs w:val="20"/>
              </w:rPr>
              <w:t/>
            </w:r>
            <w:r w:rsidRPr="00552E0B">
              <w:rPr>
                <w:rFonts w:cs="Times New Roman"/>
                <w:sz w:val="20"/>
                <w:szCs w:val="20"/>
              </w:rPr>
              <w:t/>
            </w:r>
            <w:r>
              <w:rPr>
                <w:rFonts w:cs="Times New Roman"/>
                <w:sz w:val="20"/>
                <w:szCs w:val="20"/>
              </w:rPr>
              <w:t/>
            </w:r>
            <w:r w:rsidRPr="00552E0B">
              <w:rPr>
                <w:rFonts w:cs="Times New Roman"/>
                <w:sz w:val="20"/>
                <w:szCs w:val="20"/>
              </w:rPr>
              <w:t/>
            </w:r>
          </w:p>
        </w:tc>
      </w:tr>
    </w:tbl>
    <w:p w14:paraId="6D70ADA2" w14:textId="77777777" w:rsidR="00461F0C" w:rsidRPr="00461F0C" w:rsidRDefault="00461F0C" w:rsidP="00461F0C"/>
    <w:sectPr w:rsidR="00461F0C" w:rsidRPr="00461F0C">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C112E" w14:textId="77777777" w:rsidR="008E2893" w:rsidRDefault="008E2893" w:rsidP="00B35743">
      <w:pPr>
        <w:spacing w:after="0" w:line="240" w:lineRule="auto"/>
      </w:pPr>
      <w:r>
        <w:separator/>
      </w:r>
    </w:p>
  </w:endnote>
  <w:endnote w:type="continuationSeparator" w:id="0">
    <w:p w14:paraId="7E83BC92" w14:textId="77777777" w:rsidR="008E2893" w:rsidRDefault="008E2893" w:rsidP="00B3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37856"/>
      <w:docPartObj>
        <w:docPartGallery w:val="Page Numbers (Bottom of Page)"/>
        <w:docPartUnique/>
      </w:docPartObj>
    </w:sdtPr>
    <w:sdtContent>
      <w:p w14:paraId="330E32B2" w14:textId="16755CEE" w:rsidR="006F5214" w:rsidRDefault="006F5214">
        <w:pPr>
          <w:pStyle w:val="Pieddepage"/>
          <w:jc w:val="center"/>
        </w:pPr>
        <w:r>
          <w:fldChar w:fldCharType="begin"/>
        </w:r>
        <w:r>
          <w:instrText>PAGE   \* MERGEFORMAT</w:instrText>
        </w:r>
        <w:r>
          <w:fldChar w:fldCharType="separate"/>
        </w:r>
        <w:r>
          <w:t>2</w:t>
        </w:r>
        <w:r>
          <w:fldChar w:fldCharType="end"/>
        </w:r>
      </w:p>
    </w:sdtContent>
  </w:sdt>
  <w:p w14:paraId="676E29ED" w14:textId="77777777" w:rsidR="006F5214" w:rsidRDefault="006F52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CB40C" w14:textId="77777777" w:rsidR="008E2893" w:rsidRDefault="008E2893" w:rsidP="00B35743">
      <w:pPr>
        <w:spacing w:after="0" w:line="240" w:lineRule="auto"/>
      </w:pPr>
      <w:r>
        <w:separator/>
      </w:r>
    </w:p>
  </w:footnote>
  <w:footnote w:type="continuationSeparator" w:id="0">
    <w:p w14:paraId="0AC3BD0B" w14:textId="77777777" w:rsidR="008E2893" w:rsidRDefault="008E2893" w:rsidP="00B35743">
      <w:pPr>
        <w:spacing w:after="0" w:line="240" w:lineRule="auto"/>
      </w:pPr>
      <w:r>
        <w:continuationSeparator/>
      </w:r>
    </w:p>
  </w:footnote>
  <w:footnote w:id="1">
    <w:p w14:paraId="1311F452" w14:textId="7C0FA166" w:rsidR="00B35743" w:rsidRPr="002D6C2F" w:rsidRDefault="00B35743" w:rsidP="00566338">
      <w:pPr>
        <w:pStyle w:val="Notedebasdepage"/>
        <w:jc w:val="both"/>
        <w:rPr>
          <w:sz w:val="18"/>
          <w:szCs w:val="18"/>
        </w:rPr>
      </w:pPr>
      <w:r w:rsidRPr="00483230">
        <w:rPr>
          <w:rStyle w:val="Appelnotedebasdep"/>
        </w:rPr>
        <w:footnoteRef/>
      </w:r>
      <w:r w:rsidRPr="002D6C2F">
        <w:rPr>
          <w:sz w:val="18"/>
          <w:szCs w:val="18"/>
        </w:rPr>
        <w:t xml:space="preserve"> Utilizamos o termo </w:t>
      </w:r>
      <w:r w:rsidRPr="002D6C2F">
        <w:rPr>
          <w:i/>
          <w:iCs/>
          <w:sz w:val="18"/>
          <w:szCs w:val="18"/>
        </w:rPr>
        <w:t>registro</w:t>
      </w:r>
      <w:r w:rsidR="00261F87" w:rsidRPr="002D6C2F">
        <w:rPr>
          <w:sz w:val="18"/>
          <w:szCs w:val="18"/>
        </w:rPr>
        <w:t xml:space="preserve">, tomado de </w:t>
      </w:r>
      <w:r w:rsidR="00AD17F4" w:rsidRPr="002D6C2F">
        <w:rPr>
          <w:sz w:val="18"/>
          <w:szCs w:val="18"/>
        </w:rPr>
        <w:fldChar w:fldCharType="begin"/>
      </w:r>
      <w:r w:rsidR="00003052" w:rsidRPr="002D6C2F">
        <w:rPr>
          <w:sz w:val="18"/>
          <w:szCs w:val="18"/>
        </w:rPr>
        <w:instrText xml:space="preserve"> ADDIN ZOTERO_ITEM CSL_CITATION {"citationID":"4XNmApkg","properties":{"formattedCitation":"(Th\\uc0\\u233{}ret, 1997)","plainCitation":"(Théret, 1997)","noteIndex":1},"citationItems":[{"id":5975,"uris":["http://zotero.org/users/10222123/items/FFG6NJMT"],"itemData":{"id":5975,"type":"article-journal","citation-key":"theretMethodologieComparaisonsInternationales1997","container-title":"L'Année de la Régulation","journalAbbreviation":"L'Année de la Régulation","page":"163-228","source":"ResearchGate","title":"Méthodologie des comparaisons internationales, approches de l'effet sociétal de la régulation: Fondements pour une lecture structuraliste des systèmes nationaux de protection sociale","title-short":"Méthodologie des comparaisons internationales, approches de l'effet socieétal de la régulation","volume":"1","author":[{"family":"Théret","given":"Bruno"}],"issued":{"date-parts":[["1997",1,1]]}}}],"schema":"https://github.com/citation-style-language/schema/raw/master/csl-citation.json"} </w:instrText>
      </w:r>
      <w:r w:rsidR="00AD17F4" w:rsidRPr="002D6C2F">
        <w:rPr>
          <w:sz w:val="18"/>
          <w:szCs w:val="18"/>
        </w:rPr>
        <w:fldChar w:fldCharType="separate"/>
      </w:r>
      <w:r w:rsidR="00DF6BD6" w:rsidRPr="002D6C2F">
        <w:rPr>
          <w:rFonts w:cs="Times New Roman"/>
          <w:kern w:val="0"/>
          <w:sz w:val="18"/>
          <w:szCs w:val="18"/>
        </w:rPr>
        <w:t>(</w:t>
      </w:r>
      <w:proofErr w:type="spellStart"/>
      <w:r w:rsidR="00DF6BD6" w:rsidRPr="002D6C2F">
        <w:rPr>
          <w:rFonts w:cs="Times New Roman"/>
          <w:kern w:val="0"/>
          <w:sz w:val="18"/>
          <w:szCs w:val="18"/>
        </w:rPr>
        <w:t>Théret</w:t>
      </w:r>
      <w:proofErr w:type="spellEnd"/>
      <w:r w:rsidR="00DF6BD6" w:rsidRPr="002D6C2F">
        <w:rPr>
          <w:rFonts w:cs="Times New Roman"/>
          <w:kern w:val="0"/>
          <w:sz w:val="18"/>
          <w:szCs w:val="18"/>
        </w:rPr>
        <w:t>, 1997)</w:t>
      </w:r>
      <w:r w:rsidR="00AD17F4" w:rsidRPr="002D6C2F">
        <w:rPr>
          <w:sz w:val="18"/>
          <w:szCs w:val="18"/>
        </w:rPr>
        <w:fldChar w:fldCharType="end"/>
      </w:r>
      <w:r w:rsidR="00AD17F4" w:rsidRPr="002D6C2F">
        <w:rPr>
          <w:sz w:val="18"/>
          <w:szCs w:val="18"/>
        </w:rPr>
        <w:t xml:space="preserve">, como uma manifestação, em um espaço mesoscópico, das mediações simbólicas entre as ordens econômica, política e doméstica. Acrescentamos o registro alimentar aos registros da moeda, do direito, da representação política e do sistema de mídia. A delimitação desse registro se sobrepõe à do </w:t>
      </w:r>
      <w:r w:rsidR="00E95C43" w:rsidRPr="002D6C2F">
        <w:rPr>
          <w:sz w:val="18"/>
          <w:szCs w:val="18"/>
        </w:rPr>
        <w:t/>
      </w:r>
      <w:r w:rsidR="00A111FE" w:rsidRPr="002D6C2F">
        <w:rPr>
          <w:sz w:val="18"/>
          <w:szCs w:val="18"/>
        </w:rPr>
        <w:t/>
      </w:r>
      <w:proofErr w:type="spellStart"/>
      <w:r w:rsidR="00A111FE" w:rsidRPr="002D6C2F">
        <w:rPr>
          <w:sz w:val="18"/>
          <w:szCs w:val="18"/>
        </w:rPr>
        <w:t/>
      </w:r>
      <w:r w:rsidR="00FD75E1" w:rsidRPr="002D6C2F">
        <w:rPr>
          <w:sz w:val="18"/>
          <w:szCs w:val="18"/>
        </w:rPr>
        <w:t/>
      </w:r>
      <w:proofErr w:type="spellEnd"/>
      <w:r w:rsidR="0027216D" w:rsidRPr="002D6C2F">
        <w:rPr>
          <w:sz w:val="18"/>
          <w:szCs w:val="18"/>
        </w:rPr>
        <w:t/>
      </w:r>
      <w:r w:rsidR="006F4DDF" w:rsidRPr="002D6C2F">
        <w:rPr>
          <w:sz w:val="18"/>
          <w:szCs w:val="18"/>
        </w:rPr>
        <w:t/>
      </w:r>
      <w:r w:rsidR="00E34D90" w:rsidRPr="002D6C2F">
        <w:rPr>
          <w:sz w:val="18"/>
          <w:szCs w:val="18"/>
        </w:rPr>
        <w:t/>
      </w:r>
      <w:r w:rsidR="00203D54" w:rsidRPr="002D6C2F">
        <w:rPr>
          <w:sz w:val="18"/>
          <w:szCs w:val="18"/>
        </w:rPr>
        <w:t/>
      </w:r>
      <w:r w:rsidR="005E1388" w:rsidRPr="002D6C2F">
        <w:rPr>
          <w:sz w:val="18"/>
          <w:szCs w:val="18"/>
        </w:rPr>
        <w:t/>
      </w:r>
      <w:r w:rsidR="00263E71" w:rsidRPr="002D6C2F">
        <w:rPr>
          <w:sz w:val="18"/>
          <w:szCs w:val="18"/>
        </w:rPr>
        <w:t/>
      </w:r>
      <w:r w:rsidR="00254373" w:rsidRPr="002D6C2F">
        <w:rPr>
          <w:sz w:val="18"/>
          <w:szCs w:val="18"/>
        </w:rPr>
        <w:t/>
      </w:r>
      <w:r w:rsidR="00263E71" w:rsidRPr="002D6C2F">
        <w:rPr>
          <w:sz w:val="18"/>
          <w:szCs w:val="18"/>
        </w:rPr>
        <w:t/>
      </w:r>
      <w:r w:rsidR="005E1388" w:rsidRPr="002D6C2F">
        <w:rPr>
          <w:sz w:val="18"/>
          <w:szCs w:val="18"/>
        </w:rPr>
        <w:t/>
      </w:r>
      <w:r w:rsidR="00926BDD" w:rsidRPr="002D6C2F">
        <w:rPr>
          <w:sz w:val="18"/>
          <w:szCs w:val="18"/>
        </w:rPr>
        <w:t/>
      </w:r>
      <w:r w:rsidR="00D27F32" w:rsidRPr="002D6C2F">
        <w:rPr>
          <w:sz w:val="18"/>
          <w:szCs w:val="18"/>
        </w:rPr>
        <w:t/>
      </w:r>
      <w:r w:rsidR="001A66D9">
        <w:rPr>
          <w:sz w:val="18"/>
          <w:szCs w:val="18"/>
        </w:rPr>
        <w:t/>
      </w:r>
      <w:r w:rsidR="00D27F32" w:rsidRPr="002D6C2F">
        <w:rPr>
          <w:sz w:val="18"/>
          <w:szCs w:val="18"/>
        </w:rPr>
        <w:t/>
      </w:r>
      <w:r w:rsidR="00D27F32" w:rsidRPr="002D6C2F">
        <w:rPr>
          <w:i/>
          <w:iCs/>
          <w:sz w:val="18"/>
          <w:szCs w:val="18"/>
        </w:rPr>
        <w:t xml:space="preserve">sistema alimentar </w:t>
      </w:r>
      <w:r w:rsidR="00FD0C0E" w:rsidRPr="002D6C2F">
        <w:rPr>
          <w:i/>
          <w:iCs/>
          <w:sz w:val="18"/>
          <w:szCs w:val="18"/>
        </w:rPr>
        <w:fldChar w:fldCharType="begin"/>
      </w:r>
      <w:r w:rsidR="00511B07">
        <w:rPr>
          <w:i/>
          <w:iCs/>
          <w:sz w:val="18"/>
          <w:szCs w:val="18"/>
        </w:rPr>
        <w:instrText xml:space="preserve"> ADDIN ZOTERO_ITEM CSL_CITATION {"citationID":"i0vFVNil","properties":{"formattedCitation":"(Malassis, 2002)","plainCitation":"(Malassis, 2002)","noteIndex":1},"citationItems":[{"id":14205,"uris":["http://zotero.org/users/10222123/items/3EP5ECR4"],"itemData":{"id":14205,"type":"book","abstract":"Louis Malassis, président d'Agropolis-Muséum, nous raconte une histoire vieille de trois millions d'années : l'histoire alimentaire. Malgré des progrès spectaculaires, les questions demeurent : l'homme gagnera-t-il son combat contre la faim ? La nature pourra-t-elle toujours répondre aux besoins de l'humanité ?","citation-key":"malassisNourrirHommesExpose2002","ISBN":"978-2-08-035171-5","language":"Français","number-of-pages":"127","publisher":"Flammarion","publisher-place":"Paris","source":"Amazon","title":"Nourrir les hommes: Un exposé pour comprendre, un essai pour réfléchir","title-short":"Nourrir les hommes","author":[{"family":"Malassis","given":"Louis"}],"issued":{"date-parts":[["2002"]]}}}],"schema":"https://github.com/citation-style-language/schema/raw/master/csl-citation.json"} </w:instrText>
      </w:r>
      <w:r w:rsidR="00FD0C0E" w:rsidRPr="002D6C2F">
        <w:rPr>
          <w:i/>
          <w:iCs/>
          <w:sz w:val="18"/>
          <w:szCs w:val="18"/>
        </w:rPr>
        <w:fldChar w:fldCharType="separate"/>
      </w:r>
      <w:r w:rsidR="00DF6BD6" w:rsidRPr="002D6C2F">
        <w:rPr>
          <w:rFonts w:cs="Times New Roman"/>
          <w:sz w:val="18"/>
          <w:szCs w:val="18"/>
        </w:rPr>
        <w:t>(Malassis, 2002)</w:t>
      </w:r>
      <w:r w:rsidR="00FD0C0E" w:rsidRPr="002D6C2F">
        <w:rPr>
          <w:i/>
          <w:iCs/>
          <w:sz w:val="18"/>
          <w:szCs w:val="18"/>
        </w:rPr>
        <w:fldChar w:fldCharType="end"/>
      </w:r>
      <w:r w:rsidR="007D0572" w:rsidRPr="002D6C2F">
        <w:rPr>
          <w:sz w:val="18"/>
          <w:szCs w:val="18"/>
        </w:rPr>
        <w:t>, isto é, “a maneira como os seres humanos se organizam para produzir, distribuir e consumir seus alimentos”. Evitamos a formulação “agroalimentar”, que pode remeter especificamente à indústria de transformação ou à produção em seu conjunto.</w:t>
      </w:r>
      <w:r w:rsidR="00035DCB" w:rsidRPr="002D6C2F">
        <w:rPr>
          <w:sz w:val="18"/>
          <w:szCs w:val="18"/>
        </w:rPr>
        <w:t/>
      </w:r>
      <w:r w:rsidR="00033497" w:rsidRPr="002D6C2F">
        <w:rPr>
          <w:sz w:val="18"/>
          <w:szCs w:val="18"/>
        </w:rPr>
        <w:t/>
      </w:r>
      <w:r w:rsidR="009B5A52" w:rsidRPr="002D6C2F">
        <w:rPr>
          <w:sz w:val="18"/>
          <w:szCs w:val="18"/>
        </w:rPr>
        <w:t/>
      </w:r>
      <w:r w:rsidR="00787EEA" w:rsidRPr="002D6C2F">
        <w:rPr>
          <w:sz w:val="18"/>
          <w:szCs w:val="18"/>
        </w:rPr>
        <w:t/>
      </w:r>
    </w:p>
  </w:footnote>
  <w:footnote w:id="2">
    <w:p w14:paraId="398820A2" w14:textId="26E8D0ED" w:rsidR="00FA0E4B" w:rsidRPr="002D6C2F" w:rsidRDefault="00FA0E4B">
      <w:pPr>
        <w:pStyle w:val="Notedebasdepage"/>
        <w:rPr>
          <w:sz w:val="18"/>
          <w:szCs w:val="18"/>
        </w:rPr>
      </w:pPr>
      <w:r w:rsidRPr="00483230">
        <w:rPr>
          <w:rStyle w:val="Appelnotedebasdep"/>
        </w:rPr>
        <w:footnoteRef/>
      </w:r>
      <w:r w:rsidRPr="002D6C2F">
        <w:rPr>
          <w:sz w:val="18"/>
          <w:szCs w:val="18"/>
        </w:rPr>
        <w:t xml:space="preserve"> Isto é, por </w:t>
      </w:r>
      <w:r w:rsidRPr="002D6C2F">
        <w:rPr>
          <w:i/>
          <w:iCs/>
          <w:sz w:val="18"/>
          <w:szCs w:val="18"/>
        </w:rPr>
        <w:t>campos</w:t>
      </w:r>
      <w:r w:rsidR="00E86338" w:rsidRPr="002D6C2F">
        <w:rPr>
          <w:i/>
          <w:iCs/>
          <w:sz w:val="18"/>
          <w:szCs w:val="18"/>
        </w:rPr>
        <w:t/>
      </w:r>
      <w:r w:rsidR="00E86338" w:rsidRPr="002D6C2F">
        <w:rPr>
          <w:sz w:val="18"/>
          <w:szCs w:val="18"/>
        </w:rPr>
        <w:t xml:space="preserve"> no sentido de Bourdieu, dotados de seus próprios atores, beneficiários, interesses e marcos cognitivos.</w:t>
      </w:r>
      <w:r w:rsidR="000D37AF" w:rsidRPr="002D6C2F">
        <w:rPr>
          <w:sz w:val="18"/>
          <w:szCs w:val="18"/>
        </w:rPr>
        <w:t/>
      </w:r>
      <w:r w:rsidR="009D5E6A" w:rsidRPr="002D6C2F">
        <w:rPr>
          <w:sz w:val="18"/>
          <w:szCs w:val="18"/>
        </w:rPr>
        <w:t/>
      </w:r>
      <w:r w:rsidR="00BC05FF" w:rsidRPr="002D6C2F">
        <w:rPr>
          <w:sz w:val="18"/>
          <w:szCs w:val="18"/>
        </w:rPr>
        <w:t/>
      </w:r>
      <w:r w:rsidR="009D5E6A" w:rsidRPr="002D6C2F">
        <w:rPr>
          <w:sz w:val="18"/>
          <w:szCs w:val="18"/>
        </w:rPr>
        <w:t/>
      </w:r>
    </w:p>
  </w:footnote>
  <w:footnote w:id="3">
    <w:p w14:paraId="32D9C34C" w14:textId="68A8FA2C" w:rsidR="007C329F" w:rsidRDefault="007C329F">
      <w:pPr>
        <w:pStyle w:val="Notedebasdepage"/>
      </w:pPr>
      <w:r w:rsidRPr="00483230">
        <w:rPr>
          <w:rStyle w:val="Appelnotedebasdep"/>
        </w:rPr>
        <w:footnoteRef/>
      </w:r>
      <w:r>
        <w:t xml:space="preserve"> Criados em 2014, são processos locais e concertados destinados a organizar um sistema alimentar na escala de um território. São frequentemente conduzidos por coletividades territoriais.</w:t>
      </w:r>
      <w:r w:rsidR="0031763C">
        <w:t/>
      </w:r>
      <w:r w:rsidRPr="007C329F">
        <w:t/>
      </w:r>
      <w:r w:rsidR="00236E58">
        <w:t/>
      </w:r>
    </w:p>
  </w:footnote>
  <w:footnote w:id="4">
    <w:p w14:paraId="4554CD1B" w14:textId="75904F60" w:rsidR="00F21A43" w:rsidRDefault="00F21A43">
      <w:pPr>
        <w:pStyle w:val="Notedebasdepage"/>
      </w:pPr>
      <w:r w:rsidRPr="00483230">
        <w:rPr>
          <w:rStyle w:val="Appelnotedebasdep"/>
        </w:rPr>
        <w:footnoteRef/>
      </w:r>
      <w:r>
        <w:t xml:space="preserve"> Programa brasileiro de alimentação escolar. Baseia-se em uma transferência federal de recursos aos estados, municípios e escolas públicas para financiar refeições destinadas aos estudantes da educação básica, promovendo ao mesmo tempo a educação alimentar e nutricional. Desde 2009, 30% dos gastos federais são destinados à compra de alimentos provenientes da agricultura familiar.</w:t>
      </w:r>
      <w:r w:rsidR="00867285">
        <w:t/>
      </w:r>
      <w:r w:rsidR="00867285" w:rsidRPr="00867285">
        <w:t/>
      </w:r>
      <w:r w:rsidR="0031264B">
        <w:t/>
      </w:r>
    </w:p>
  </w:footnote>
  <w:footnote w:id="5">
    <w:p w14:paraId="7F7838FA" w14:textId="6DDD1AE2" w:rsidR="00F21A43" w:rsidRDefault="00F21A43">
      <w:pPr>
        <w:pStyle w:val="Notedebasdepage"/>
      </w:pPr>
      <w:r w:rsidRPr="00483230">
        <w:rPr>
          <w:rStyle w:val="Appelnotedebasdep"/>
        </w:rPr>
        <w:footnoteRef/>
      </w:r>
      <w:r>
        <w:t xml:space="preserve"> Dispositivo de compra pública de alimentos produzidos pela agricultura familiar. O Estado compra esses produtos, frequentemente por meio de procedimentos simplificados, a fim de apoiar a renda dos pequenos produtores e, ao mesmo tempo, abastecer equipamentos públicos ou populações em situação de insegurança alimentar.</w:t>
      </w:r>
      <w:r w:rsidRPr="00F21A43">
        <w:t/>
      </w:r>
    </w:p>
  </w:footnote>
  <w:footnote w:id="6">
    <w:p w14:paraId="79F4FD24" w14:textId="36560DB3" w:rsidR="003F050E" w:rsidRDefault="003F050E">
      <w:pPr>
        <w:pStyle w:val="Notedebasdepage"/>
      </w:pPr>
      <w:r w:rsidRPr="00483230">
        <w:rPr>
          <w:rStyle w:val="Appelnotedebasdep"/>
        </w:rPr>
        <w:footnoteRef/>
      </w:r>
      <w:r>
        <w:t xml:space="preserve"> A expressão </w:t>
      </w:r>
      <w:r w:rsidR="003607B7" w:rsidRPr="003607B7">
        <w:t/>
      </w:r>
      <w:r w:rsidR="003607B7" w:rsidRPr="003607B7">
        <w:rPr>
          <w:i/>
          <w:iCs/>
        </w:rPr>
        <w:t>agricultura familiar</w:t>
      </w:r>
      <w:r w:rsidR="003607B7" w:rsidRPr="003607B7">
        <w:t xml:space="preserve"> é empregada aqui no sentido do direito brasileiro, e não como sinônimo de agricultura camponesa no sentido analítico. Essa categoria inclui juridicamente agricultores que possuem propriedades de pequena extensão, empregam essencialmente mão de obra da esfera familiar e obtêm renda principalmente agrícola. O perímetro preciso dessa categoria jurídica é objeto de uma luta política permanente pelo acesso aos direitos produtivos de numerosas categorias sociais e étnicas </w:t>
      </w:r>
      <w:r w:rsidR="003607B7">
        <w:t/>
      </w:r>
      <w:r w:rsidR="007527F5">
        <w:t/>
      </w:r>
      <w:r w:rsidR="00E1611E">
        <w:t/>
      </w:r>
      <w:r w:rsidR="00240590">
        <w:t/>
      </w:r>
      <w:r w:rsidR="0042715B">
        <w:t/>
      </w:r>
      <w:r w:rsidR="001023EE">
        <w:t/>
      </w:r>
      <w:r w:rsidR="007871D3">
        <w:t/>
      </w:r>
      <w:r w:rsidR="003607B7" w:rsidRPr="003607B7">
        <w:t/>
      </w:r>
      <w:r w:rsidR="009907CA">
        <w:t/>
      </w:r>
      <w:r w:rsidR="00785950">
        <w:t/>
      </w:r>
      <w:r w:rsidR="008A2F3C">
        <w:t/>
      </w:r>
      <w:r w:rsidR="005859DA">
        <w:t/>
      </w:r>
      <w:r w:rsidR="00A826EF">
        <w:t/>
      </w:r>
      <w:r w:rsidR="00DE6123">
        <w:t/>
      </w:r>
      <w:r w:rsidR="00CD35E3">
        <w:fldChar w:fldCharType="begin"/>
      </w:r>
      <w:r w:rsidR="00511B07">
        <w:instrText xml:space="preserve"> ADDIN ZOTERO_ITEM CSL_CITATION {"citationID":"Fwz3vD0B","properties":{"formattedCitation":"(Poupard, n.d.)","plainCitation":"(Poupard, n.d.)","noteIndex":3},"citationItems":[{"id":14201,"uris":["http://zotero.org/users/10222123/items/CGU6JK7J"],"itemData":{"id":14201,"type":"article-journal","citation-key":"poupardGrandeurDecadenceSysteme","title":"Grandeur et décadence du système national de protection sociale alimentaire brésilien : une relecture régulationniste","author":[{"family":"Poupard","given":"Adam"}]}}],"schema":"https://github.com/citation-style-language/schema/raw/master/csl-citation.json"} </w:instrText>
      </w:r>
      <w:r w:rsidR="00CD35E3">
        <w:fldChar w:fldCharType="separate"/>
      </w:r>
      <w:r w:rsidR="00CD35E3" w:rsidRPr="00CD35E3">
        <w:rPr>
          <w:rFonts w:cs="Times New Roman"/>
        </w:rPr>
        <w:t xml:space="preserve">(Poupard, </w:t>
      </w:r>
      <w:proofErr w:type="spellStart"/>
      <w:r w:rsidR="00CD35E3" w:rsidRPr="00CD35E3">
        <w:rPr>
          <w:rFonts w:cs="Times New Roman"/>
        </w:rPr>
        <w:t>n.d</w:t>
      </w:r>
      <w:proofErr w:type="spellEnd"/>
      <w:r w:rsidR="00CD35E3" w:rsidRPr="00CD35E3">
        <w:rPr>
          <w:rFonts w:cs="Times New Roman"/>
        </w:rPr>
        <w:t>.)</w:t>
      </w:r>
      <w:r w:rsidR="00CD35E3">
        <w:fldChar w:fldCharType="end"/>
      </w:r>
      <w:r w:rsidR="003607B7" w:rsidRPr="003607B7">
        <w:t xml:space="preserve">. Trata-se, portanto, de uma categoria </w:t>
      </w:r>
      <w:r w:rsidR="003607B7" w:rsidRPr="00CD1E21">
        <w:rPr>
          <w:i/>
          <w:iCs/>
        </w:rPr>
        <w:t>jurídico-política</w:t>
      </w:r>
      <w:r w:rsidR="003607B7" w:rsidRPr="003607B7">
        <w:t xml:space="preserve"> de ação pública, e não de uma categoria </w:t>
      </w:r>
      <w:r w:rsidR="00674EF1">
        <w:t/>
      </w:r>
      <w:r w:rsidR="00674EF1" w:rsidRPr="006A4959">
        <w:rPr>
          <w:i/>
          <w:iCs/>
        </w:rPr>
        <w:t>socioeconômica</w:t>
      </w:r>
      <w:r w:rsidR="00674EF1">
        <w:t>; seu alcance é mais amplo do que o da agricultura camponesa, entendida como lógica de reprodução autônoma em relação aos mercados.</w:t>
      </w:r>
      <w:r w:rsidR="003607B7" w:rsidRPr="003607B7">
        <w:t/>
      </w:r>
    </w:p>
  </w:footnote>
  <w:footnote w:id="7">
    <w:p w14:paraId="3ABEFBB7" w14:textId="477145BC" w:rsidR="00525851" w:rsidRDefault="00525851">
      <w:pPr>
        <w:pStyle w:val="Notedebasdepage"/>
      </w:pPr>
      <w:r w:rsidRPr="00483230">
        <w:rPr>
          <w:rStyle w:val="Appelnotedebasdep"/>
        </w:rPr>
        <w:footnoteRef/>
      </w:r>
      <w:r>
        <w:t xml:space="preserve"> Principal programa federal brasileiro de transferência monetária para famílias pobres, instituído em 2003. Organiza o pagamento regular de um benefício às famílias inscritas, condicionado à renda, ao acompanhamento de saúde e à frequência escolar. Alcança quase um quarto da população brasileira.</w:t>
      </w:r>
      <w:r w:rsidRPr="00525851">
        <w:t/>
      </w:r>
      <w:r w:rsidR="00814A92">
        <w:t/>
      </w:r>
      <w:r w:rsidRPr="00525851">
        <w:t/>
      </w:r>
      <w:r w:rsidR="00464410">
        <w:t/>
      </w:r>
      <w:r w:rsidRPr="00525851">
        <w:t/>
      </w:r>
      <w:r w:rsidR="00464410">
        <w:t/>
      </w:r>
      <w:r w:rsidRPr="00525851">
        <w:t/>
      </w:r>
      <w:r w:rsidR="00464410">
        <w:t/>
      </w:r>
      <w:r w:rsidRPr="00525851">
        <w:t/>
      </w:r>
      <w:r w:rsidR="00060F85">
        <w:t/>
      </w:r>
      <w:r w:rsidRPr="00525851">
        <w:t/>
      </w:r>
      <w:r w:rsidR="00060F85">
        <w:t/>
      </w:r>
      <w:r w:rsidRPr="00525851">
        <w:t/>
      </w:r>
      <w:r w:rsidR="00060F85">
        <w:t/>
      </w:r>
      <w:r w:rsidR="00392B10">
        <w:t/>
      </w:r>
    </w:p>
  </w:footnote>
  <w:footnote w:id="8">
    <w:p w14:paraId="7236D577" w14:textId="666C8596" w:rsidR="00CB756C" w:rsidRPr="0039219A" w:rsidRDefault="00CB756C" w:rsidP="002924C8">
      <w:pPr>
        <w:pStyle w:val="Notedebasdepage"/>
        <w:jc w:val="both"/>
      </w:pPr>
      <w:r w:rsidRPr="00483230">
        <w:rPr>
          <w:rStyle w:val="Appelnotedebasdep"/>
        </w:rPr>
        <w:footnoteRef/>
      </w:r>
      <w:r w:rsidRPr="0039219A">
        <w:t xml:space="preserve"> Longe da ideia de que já não existem camponeses nos países do centro </w:t>
      </w:r>
      <w:r w:rsidR="00DD2958" w:rsidRPr="0039219A">
        <w:t/>
      </w:r>
      <w:r w:rsidR="00D74C76" w:rsidRPr="0039219A">
        <w:t/>
      </w:r>
      <w:r w:rsidR="00397C35" w:rsidRPr="0039219A">
        <w:t/>
      </w:r>
      <w:r w:rsidR="001B4A17" w:rsidRPr="0039219A">
        <w:fldChar w:fldCharType="begin"/>
      </w:r>
      <w:r w:rsidR="00511B07" w:rsidRPr="0039219A">
        <w:instrText xml:space="preserve"> ADDIN ZOTERO_ITEM CSL_CITATION {"citationID":"f2wFgcm8","properties":{"formattedCitation":"(Mendras, 1992)","plainCitation":"(Mendras, 1992)","noteIndex":4},"citationItems":[{"id":14233,"uris":["http://zotero.org/users/10222123/items/US9NTG89"],"itemData":{"id":14233,"type":"book","abstract":"L'ouvrage d'Henri Mendras - La Fin des paysans -parut audacieux lors de sa publication en 1967. La thèse de l'auteur était simple mais redoutable dans ses perspectives : la France avait vu disparaître une civilisation millénaire, constitutive d'elle-même, et depuis les années cinquante la paysannerie, en tant que mode de vie, avait complètement disparu, ne laissant dans la campagne française que des agriculteurs-producteurs obéissant aux règles du marché et de la technique. Ce diagnostic scientifique n'a rien perdu de son actualité. La Fin des paysans - augmenté d'une postface écrite en 1984 -est devenu un classique parce que le temps en a confirmé la justesse.  Cet ouvrage ouvre la série «essais» dans la collection de livres de poche Babel.","citation-key":"mendrasFinPaysansSuivi1992","ISBN":"978-2-86869-802-5","language":"Français","number-of-pages":"446","publisher":"Actes Sud","publisher-place":"Le Méjan, Arles : Bruxelles : [Lausanne]","source":"Amazon","title":"La fin des paysans ; suivi d'une réflexion sur la fin des paysans vingt ans après","author":[{"family":"Mendras","given":"Henri"}],"issued":{"date-parts":[["1992"]]}}}],"schema":"https://github.com/citation-style-language/schema/raw/master/csl-citation.json"} </w:instrText>
      </w:r>
      <w:r w:rsidR="001B4A17" w:rsidRPr="0039219A">
        <w:fldChar w:fldCharType="separate"/>
      </w:r>
      <w:r w:rsidR="00DF6BD6" w:rsidRPr="0039219A">
        <w:rPr>
          <w:rFonts w:cs="Times New Roman"/>
        </w:rPr>
        <w:t>(Mendras, 1992</w:t>
      </w:r>
      <w:r w:rsidR="0044461C" w:rsidRPr="0039219A">
        <w:rPr>
          <w:rFonts w:cs="Times New Roman"/>
        </w:rPr>
        <w:t xml:space="preserve"> [1967]</w:t>
      </w:r>
      <w:r w:rsidR="00DF6BD6" w:rsidRPr="0039219A">
        <w:rPr>
          <w:rFonts w:cs="Times New Roman"/>
        </w:rPr>
        <w:t>)</w:t>
      </w:r>
      <w:r w:rsidR="001B4A17" w:rsidRPr="0039219A">
        <w:fldChar w:fldCharType="end"/>
      </w:r>
      <w:r w:rsidR="00DB5A08" w:rsidRPr="0039219A">
        <w:t xml:space="preserve">, essa perspectiva insere-se na literatura dos estudos agrários críticos, que reconhece a persistência de uma condição camponesa caracterizada por sua lógica de reprodução, por uma base de recursos relativamente autocontrolada e pela resistência à dependência mercantil </w:t>
      </w:r>
      <w:r w:rsidR="009C177C" w:rsidRPr="0039219A">
        <w:t/>
      </w:r>
      <w:r w:rsidR="00135AF2" w:rsidRPr="0039219A">
        <w:t/>
      </w:r>
      <w:r w:rsidR="00CD6D38" w:rsidRPr="0039219A">
        <w:t/>
      </w:r>
      <w:r w:rsidR="00EE159E" w:rsidRPr="0039219A">
        <w:t/>
      </w:r>
      <w:r w:rsidR="008266FD" w:rsidRPr="0039219A">
        <w:t/>
      </w:r>
      <w:r w:rsidR="00EA2D81" w:rsidRPr="0039219A">
        <w:t/>
      </w:r>
      <w:r w:rsidR="004F55EE" w:rsidRPr="0039219A">
        <w:t/>
      </w:r>
      <w:r w:rsidR="00605D36" w:rsidRPr="0039219A">
        <w:t/>
      </w:r>
      <w:r w:rsidR="00653E20" w:rsidRPr="0039219A">
        <w:fldChar w:fldCharType="begin"/>
      </w:r>
      <w:r w:rsidR="00511B07" w:rsidRPr="0039219A">
        <w:instrText xml:space="preserve"> ADDIN ZOTERO_ITEM CSL_CITATION {"citationID":"qhxflW6V","properties":{"formattedCitation":"(J. D. van der\\uc0\\u160{}Ploeg, 2008)","plainCitation":"(J. D. van der Ploeg, 2008)","noteIndex":4},"citationItems":[{"id":14242,"uris":["http://zotero.org/users/10222123/items/UGPZ7YBM"],"itemData":{"id":14242,"type":"book","citation-key":"ploegNewPeasantriesStruggles2008","ISBN":"978-1-84407-558-4","language":"English","publisher":"Earthscan","source":"research.wur.nl","title":"The New Peasantries, struggles for autonomy and sustainability in an era of empire and globalization","URL":"https://research.wur.nl/en/publications/the-new-peasantries-struggles-for-autonomy-and-sustainability-in-/","author":[{"family":"Ploeg","given":"J. D.","non-dropping-particle":"van der"}],"accessed":{"date-parts":[["2026",3,18]]},"issued":{"date-parts":[["2008"]]}}}],"schema":"https://github.com/citation-style-language/schema/raw/master/csl-citation.json"} </w:instrText>
      </w:r>
      <w:r w:rsidR="00653E20" w:rsidRPr="0039219A">
        <w:fldChar w:fldCharType="separate"/>
      </w:r>
      <w:r w:rsidR="00DF6BD6" w:rsidRPr="0039219A">
        <w:rPr>
          <w:rFonts w:cs="Times New Roman"/>
          <w:kern w:val="0"/>
        </w:rPr>
        <w:t>(J. D. van der Ploeg, 2008)</w:t>
      </w:r>
      <w:r w:rsidR="00653E20" w:rsidRPr="0039219A">
        <w:fldChar w:fldCharType="end"/>
      </w:r>
      <w:r w:rsidR="00653E20" w:rsidRPr="0039219A">
        <w:t>.</w:t>
      </w:r>
    </w:p>
  </w:footnote>
  <w:footnote w:id="9">
    <w:p w14:paraId="7A45DDBA" w14:textId="14A22DB0" w:rsidR="003541C8" w:rsidRPr="0039219A" w:rsidRDefault="003541C8">
      <w:pPr>
        <w:pStyle w:val="Notedebasdepage"/>
      </w:pPr>
      <w:r w:rsidRPr="00483230">
        <w:rPr>
          <w:rStyle w:val="Appelnotedebasdep"/>
        </w:rPr>
        <w:footnoteRef/>
      </w:r>
      <w:r w:rsidRPr="0039219A">
        <w:t xml:space="preserve"> O termo correspondente no português brasileiro é </w:t>
      </w:r>
      <w:proofErr w:type="spellStart"/>
      <w:r w:rsidRPr="0039219A">
        <w:rPr>
          <w:i/>
          <w:iCs/>
        </w:rPr>
        <w:t>agronegócio</w:t>
      </w:r>
      <w:r w:rsidR="00380CD0" w:rsidRPr="0039219A">
        <w:rPr>
          <w:i/>
          <w:iCs/>
        </w:rPr>
        <w:t/>
      </w:r>
      <w:r w:rsidRPr="0039219A">
        <w:rPr>
          <w:i/>
          <w:iCs/>
        </w:rPr>
        <w:t/>
      </w:r>
      <w:proofErr w:type="spellEnd"/>
      <w:r w:rsidRPr="0039219A">
        <w:t>. Designa o conjunto das atividades a montante e a jusante da produção de commodities agrícolas, além da própria produção agrícola.</w:t>
      </w:r>
      <w:proofErr w:type="spellStart"/>
      <w:r w:rsidRPr="0039219A">
        <w:t/>
      </w:r>
      <w:proofErr w:type="spellEnd"/>
      <w:r w:rsidR="00594CC4" w:rsidRPr="0039219A">
        <w:t/>
      </w:r>
      <w:r w:rsidRPr="0039219A">
        <w:t/>
      </w:r>
      <w:r w:rsidR="00C8575A" w:rsidRPr="0039219A">
        <w:t/>
      </w:r>
      <w:r w:rsidR="004449EA" w:rsidRPr="0039219A">
        <w:t/>
      </w:r>
      <w:r w:rsidR="00C8575A" w:rsidRPr="0039219A">
        <w:t/>
      </w:r>
      <w:r w:rsidR="004449EA" w:rsidRPr="0039219A">
        <w:t/>
      </w:r>
    </w:p>
  </w:footnote>
  <w:footnote w:id="10">
    <w:p w14:paraId="19FA7572" w14:textId="6BB36B4F" w:rsidR="004F317A" w:rsidRDefault="004F317A" w:rsidP="00437A08">
      <w:pPr>
        <w:pStyle w:val="Notedebasdepage"/>
        <w:jc w:val="both"/>
      </w:pPr>
      <w:r w:rsidRPr="00483230">
        <w:rPr>
          <w:rStyle w:val="Appelnotedebasdep"/>
        </w:rPr>
        <w:footnoteRef/>
      </w:r>
      <w:r w:rsidRPr="0039219A">
        <w:t xml:space="preserve"> Evidentemente, essa descrição esquemática simplifica excessivamente outras dimensões e lógicas internas que contribuem para produzir a diversidade das formas de agricultura observadas, descritas, por exemplo, para o Brasil pelos herdeiros dos convencionalistas </w:t>
      </w:r>
      <w:r w:rsidR="00EF3D0F" w:rsidRPr="0039219A">
        <w:t/>
      </w:r>
      <w:r w:rsidR="00185999" w:rsidRPr="0039219A">
        <w:t/>
      </w:r>
      <w:r w:rsidR="00995E7D" w:rsidRPr="0039219A">
        <w:t/>
      </w:r>
      <w:r w:rsidR="00B34C0B" w:rsidRPr="0039219A">
        <w:t/>
      </w:r>
      <w:r w:rsidR="00C7495A" w:rsidRPr="0039219A">
        <w:fldChar w:fldCharType="begin"/>
      </w:r>
      <w:r w:rsidR="00511B07" w:rsidRPr="0039219A">
        <w:instrText xml:space="preserve"> ADDIN ZOTERO_ITEM CSL_CITATION {"citationID":"sP1nVIuQ","properties":{"formattedCitation":"(Niederle, 2018)","plainCitation":"(Niederle, 2018)","noteIndex":5},"citationItems":[{"id":12079,"uris":["http://zotero.org/users/10222123/items/5FBJICT2"],"itemData":{"id":12079,"type":"article-journal","abstract":"The food regime approach occupies a privileged place in the sociology of agriculture and food. However, it is criticized for its structural, universalist and homogenizing bias. From a dialogue between institutionalism and pragmatism, this contribution discusses an alternative framework constructed from the ‘social order’ concept, which defines the existence of different arrangements of practices related to socio-technical and institutional apparatuses. Both the critique of the ‘regime’ narrative and the new proposition are associated to a reinterpretation of Brazil’s agricultural trajectory. Contrasting with the overemphasized export-oriented plantation/agribusiness image that prevails in the majority of analysis about Brazilian insertion in globalized agri-food regime, this paper explores the heterogeneity of production and consumption practices, arguing for the coexistence of multiple and contradictory ordering processes.","citation-key":"niederlePluralistPragmatistCritique2018","container-title":"The Journal of Peasant Studies","DOI":"10.1080/03066150.2017.1313238","ISSN":"0306-6150","issue":"7","note":"_eprint: https://doi.org/10.1080/03066150.2017.1313238","page":"1460-1483","publisher":"Routledge","source":"Taylor and Francis+NEJM","title":"A pluralist and pragmatist critique of food regime’s genealogy: varieties of social orders in Brazilian agriculture","title-short":"A pluralist and pragmatist critique of food regime’s genealogy","volume":"45","author":[{"family":"Niederle","given":"Paulo"}],"issued":{"date-parts":[["2018",11,10]]}}}],"schema":"https://github.com/citation-style-language/schema/raw/master/csl-citation.json"} </w:instrText>
      </w:r>
      <w:r w:rsidR="00C7495A" w:rsidRPr="0039219A">
        <w:fldChar w:fldCharType="separate"/>
      </w:r>
      <w:r w:rsidR="00DF6BD6" w:rsidRPr="0039219A">
        <w:rPr>
          <w:rFonts w:cs="Times New Roman"/>
        </w:rPr>
        <w:t>(</w:t>
      </w:r>
      <w:proofErr w:type="spellStart"/>
      <w:r w:rsidR="00DF6BD6" w:rsidRPr="0039219A">
        <w:rPr>
          <w:rFonts w:cs="Times New Roman"/>
        </w:rPr>
        <w:t>Niederle</w:t>
      </w:r>
      <w:proofErr w:type="spellEnd"/>
      <w:r w:rsidR="00DF6BD6" w:rsidRPr="0039219A">
        <w:rPr>
          <w:rFonts w:cs="Times New Roman"/>
        </w:rPr>
        <w:t>, 2018)</w:t>
      </w:r>
      <w:r w:rsidR="00C7495A" w:rsidRPr="0039219A">
        <w:fldChar w:fldCharType="end"/>
      </w:r>
      <w:r w:rsidR="00C7495A" w:rsidRPr="0039219A">
        <w:t xml:space="preserve"> ou pelos regulacionistas dos espaços mesoagrícolas </w:t>
      </w:r>
      <w:proofErr w:type="spellStart"/>
      <w:r w:rsidR="00C7495A" w:rsidRPr="0039219A">
        <w:t/>
      </w:r>
      <w:proofErr w:type="spellEnd"/>
      <w:r w:rsidR="00C7495A" w:rsidRPr="0039219A">
        <w:t/>
      </w:r>
      <w:r w:rsidR="006D7821" w:rsidRPr="0039219A">
        <w:t/>
      </w:r>
      <w:r w:rsidR="00C7495A" w:rsidRPr="0039219A">
        <w:t/>
      </w:r>
      <w:r w:rsidR="00E149D3" w:rsidRPr="0039219A">
        <w:t/>
      </w:r>
      <w:r w:rsidR="009671CC" w:rsidRPr="0039219A">
        <w:fldChar w:fldCharType="begin"/>
      </w:r>
      <w:r w:rsidR="00511B07" w:rsidRPr="0039219A">
        <w:instrText xml:space="preserve"> ADDIN ZOTERO_ITEM CSL_CITATION {"citationID":"ToSpYVWG","properties":{"formattedCitation":"(Bartoli &amp; Boulet, 1990)","plainCitation":"(Bartoli &amp; Boulet, 1990)","noteIndex":5},"citationItems":[{"id":5787,"uris":["http://zotero.org/users/10222123/items/NQE9NIEW"],"itemData":{"id":5787,"type":"article-journal","citation-key":"bartoliConditionsDuneApproche1990","collection-title":"17","container-title":"Cahiers d'Economie et de Sociologie Rurales (CESR)","DOI":"10.22004/ag.econ.244185","language":"fre","source":"AgEcon Search","title":"Conditions d’une approche en termes de régulation sectorielle: le cas de la sphère viticole","title-short":"Conditions d’une approche en termes de régulation sectorielle","editor":[{"family":"Bartoli","given":"P."},{"family":"Boulet","given":"D."}],"issued":{"date-parts":[["1990"]]}}}],"schema":"https://github.com/citation-style-language/schema/raw/master/csl-citation.json"} </w:instrText>
      </w:r>
      <w:r w:rsidR="009671CC" w:rsidRPr="0039219A">
        <w:fldChar w:fldCharType="separate"/>
      </w:r>
      <w:r w:rsidR="00DF6BD6" w:rsidRPr="0039219A">
        <w:rPr>
          <w:rFonts w:cs="Times New Roman"/>
        </w:rPr>
        <w:t>(Bartoli &amp; Boulet, 1990)</w:t>
      </w:r>
      <w:r w:rsidR="009671CC" w:rsidRPr="0039219A">
        <w:fldChar w:fldCharType="end"/>
      </w:r>
      <w:r w:rsidR="000E0F32" w:rsidRPr="0039219A">
        <w:t>. Contudo, permanecer em um nível de abstração próprio da análise estrutural permite concentrar-nos nas tendências estruturais e produzir as condições da comparação internacional.</w:t>
      </w:r>
      <w:r w:rsidR="00ED722F" w:rsidRPr="0039219A">
        <w:t/>
      </w:r>
      <w:r w:rsidR="008524F7" w:rsidRPr="0039219A">
        <w:t/>
      </w:r>
      <w:r w:rsidR="003F3C40" w:rsidRPr="0039219A">
        <w:t/>
      </w:r>
      <w:r w:rsidR="00E34B93" w:rsidRPr="0039219A">
        <w:t/>
      </w:r>
      <w:r w:rsidR="006F113F" w:rsidRPr="0039219A">
        <w:t/>
      </w:r>
      <w:r w:rsidR="00B32260" w:rsidRPr="0039219A">
        <w:t/>
      </w:r>
      <w:r w:rsidR="008F0904" w:rsidRPr="0039219A">
        <w:t/>
      </w:r>
      <w:r w:rsidR="00C43A8C" w:rsidRPr="0039219A">
        <w:t/>
      </w:r>
      <w:r w:rsidR="00A271EF" w:rsidRPr="0039219A">
        <w:t/>
      </w:r>
      <w:r w:rsidR="00A271EF">
        <w:t/>
      </w:r>
      <w:r w:rsidR="00C43A8C">
        <w:t/>
      </w:r>
    </w:p>
  </w:footnote>
  <w:footnote w:id="11">
    <w:p w14:paraId="73BCDB72" w14:textId="27C40874" w:rsidR="00E71E2A" w:rsidRPr="002D6C2F" w:rsidRDefault="00E71E2A">
      <w:pPr>
        <w:pStyle w:val="Notedebasdepage"/>
        <w:rPr>
          <w:sz w:val="18"/>
          <w:szCs w:val="18"/>
        </w:rPr>
      </w:pPr>
      <w:r w:rsidRPr="00483230">
        <w:rPr>
          <w:rStyle w:val="Appelnotedebasdep"/>
        </w:rPr>
        <w:footnoteRef/>
      </w:r>
      <w:r w:rsidRPr="002D6C2F">
        <w:rPr>
          <w:sz w:val="18"/>
          <w:szCs w:val="18"/>
        </w:rPr>
        <w:t xml:space="preserve"> A proporção de famílias que afirmavam poder comer todos os alimentos que desejavam caiu de 48% para 39% entre abril de 2021 e outubro de 2022, e o número de beneficiários dos Banques Alimentaires aumentou de 1,8 milhão em 2014 para 2,4 milhões em 2024.</w:t>
      </w:r>
      <w:r w:rsidR="00AE3280">
        <w:rPr>
          <w:sz w:val="18"/>
          <w:szCs w:val="18"/>
        </w:rPr>
        <w:t/>
      </w:r>
      <w:r w:rsidR="0032027E">
        <w:rPr>
          <w:sz w:val="18"/>
          <w:szCs w:val="18"/>
        </w:rPr>
        <w:t/>
      </w:r>
      <w:r w:rsidR="00EE6D2D">
        <w:rPr>
          <w:sz w:val="18"/>
          <w:szCs w:val="18"/>
        </w:rPr>
        <w:t/>
      </w:r>
      <w:r w:rsidR="0032027E">
        <w:rPr>
          <w:sz w:val="18"/>
          <w:szCs w:val="18"/>
        </w:rPr>
        <w:t/>
      </w:r>
      <w:r w:rsidR="006A758A">
        <w:rPr>
          <w:sz w:val="18"/>
          <w:szCs w:val="18"/>
        </w:rPr>
        <w:t/>
      </w:r>
      <w:r w:rsidR="00CD29A5">
        <w:rPr>
          <w:sz w:val="18"/>
          <w:szCs w:val="18"/>
        </w:rPr>
        <w:t/>
      </w:r>
      <w:r w:rsidR="00D27104">
        <w:rPr>
          <w:sz w:val="18"/>
          <w:szCs w:val="18"/>
        </w:rPr>
        <w:t/>
      </w:r>
      <w:r w:rsidRPr="002D6C2F">
        <w:rPr>
          <w:sz w:val="18"/>
          <w:szCs w:val="18"/>
        </w:rPr>
        <w:t/>
      </w:r>
      <w:r w:rsidR="005B096E" w:rsidRPr="002D6C2F">
        <w:rPr>
          <w:sz w:val="18"/>
          <w:szCs w:val="18"/>
        </w:rP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E1A"/>
    <w:multiLevelType w:val="hybridMultilevel"/>
    <w:tmpl w:val="12280984"/>
    <w:lvl w:ilvl="0" w:tplc="FB745DAC">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E646DE"/>
    <w:multiLevelType w:val="hybridMultilevel"/>
    <w:tmpl w:val="455AFEF4"/>
    <w:lvl w:ilvl="0" w:tplc="DEF85E0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CE6A91"/>
    <w:multiLevelType w:val="hybridMultilevel"/>
    <w:tmpl w:val="B25C2042"/>
    <w:lvl w:ilvl="0" w:tplc="8E18A38C">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693B2F"/>
    <w:multiLevelType w:val="hybridMultilevel"/>
    <w:tmpl w:val="EF0E8DBA"/>
    <w:lvl w:ilvl="0" w:tplc="91448118">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6F15E4"/>
    <w:multiLevelType w:val="hybridMultilevel"/>
    <w:tmpl w:val="B3E03EC0"/>
    <w:lvl w:ilvl="0" w:tplc="6212E56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EC09B2"/>
    <w:multiLevelType w:val="hybridMultilevel"/>
    <w:tmpl w:val="F926BE9C"/>
    <w:lvl w:ilvl="0" w:tplc="34AAC12A">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43796E"/>
    <w:multiLevelType w:val="hybridMultilevel"/>
    <w:tmpl w:val="91C23734"/>
    <w:lvl w:ilvl="0" w:tplc="21F0433A">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7C40BD9"/>
    <w:multiLevelType w:val="hybridMultilevel"/>
    <w:tmpl w:val="548844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1895925"/>
    <w:multiLevelType w:val="hybridMultilevel"/>
    <w:tmpl w:val="0CF6A07C"/>
    <w:lvl w:ilvl="0" w:tplc="503098C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19877934">
    <w:abstractNumId w:val="1"/>
  </w:num>
  <w:num w:numId="2" w16cid:durableId="2133357239">
    <w:abstractNumId w:val="4"/>
  </w:num>
  <w:num w:numId="3" w16cid:durableId="765157122">
    <w:abstractNumId w:val="8"/>
  </w:num>
  <w:num w:numId="4" w16cid:durableId="840244677">
    <w:abstractNumId w:val="3"/>
  </w:num>
  <w:num w:numId="5" w16cid:durableId="2077510996">
    <w:abstractNumId w:val="2"/>
  </w:num>
  <w:num w:numId="6" w16cid:durableId="979504348">
    <w:abstractNumId w:val="6"/>
  </w:num>
  <w:num w:numId="7" w16cid:durableId="1697465117">
    <w:abstractNumId w:val="0"/>
  </w:num>
  <w:num w:numId="8" w16cid:durableId="1075517458">
    <w:abstractNumId w:val="5"/>
  </w:num>
  <w:num w:numId="9" w16cid:durableId="1713385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19"/>
    <w:rsid w:val="00000E38"/>
    <w:rsid w:val="00000EFA"/>
    <w:rsid w:val="00001010"/>
    <w:rsid w:val="00001227"/>
    <w:rsid w:val="00003052"/>
    <w:rsid w:val="00003A1D"/>
    <w:rsid w:val="0000474A"/>
    <w:rsid w:val="00004B3A"/>
    <w:rsid w:val="00004E53"/>
    <w:rsid w:val="0000590A"/>
    <w:rsid w:val="00010404"/>
    <w:rsid w:val="00010603"/>
    <w:rsid w:val="00010E88"/>
    <w:rsid w:val="000113E9"/>
    <w:rsid w:val="00011D31"/>
    <w:rsid w:val="00012C3E"/>
    <w:rsid w:val="00014997"/>
    <w:rsid w:val="00014D70"/>
    <w:rsid w:val="000151B0"/>
    <w:rsid w:val="0001641C"/>
    <w:rsid w:val="000169CA"/>
    <w:rsid w:val="00016B70"/>
    <w:rsid w:val="00016DCE"/>
    <w:rsid w:val="00016E45"/>
    <w:rsid w:val="00017A9B"/>
    <w:rsid w:val="00017CF2"/>
    <w:rsid w:val="00020D8E"/>
    <w:rsid w:val="00020E39"/>
    <w:rsid w:val="00021DB9"/>
    <w:rsid w:val="000256EB"/>
    <w:rsid w:val="00025EDB"/>
    <w:rsid w:val="000308FC"/>
    <w:rsid w:val="000310D4"/>
    <w:rsid w:val="00032005"/>
    <w:rsid w:val="00032625"/>
    <w:rsid w:val="000326FD"/>
    <w:rsid w:val="00033497"/>
    <w:rsid w:val="000352B3"/>
    <w:rsid w:val="00035AC4"/>
    <w:rsid w:val="00035DCB"/>
    <w:rsid w:val="000425B6"/>
    <w:rsid w:val="00042843"/>
    <w:rsid w:val="00042C6A"/>
    <w:rsid w:val="000437D8"/>
    <w:rsid w:val="00044813"/>
    <w:rsid w:val="00044E08"/>
    <w:rsid w:val="000461E1"/>
    <w:rsid w:val="00046806"/>
    <w:rsid w:val="00047E7D"/>
    <w:rsid w:val="0005004C"/>
    <w:rsid w:val="000568D3"/>
    <w:rsid w:val="00060010"/>
    <w:rsid w:val="00060F85"/>
    <w:rsid w:val="00061B59"/>
    <w:rsid w:val="00061CC1"/>
    <w:rsid w:val="00061F6B"/>
    <w:rsid w:val="00062636"/>
    <w:rsid w:val="000630AC"/>
    <w:rsid w:val="00063101"/>
    <w:rsid w:val="00065B15"/>
    <w:rsid w:val="00065B20"/>
    <w:rsid w:val="0006645C"/>
    <w:rsid w:val="00066C70"/>
    <w:rsid w:val="000670E9"/>
    <w:rsid w:val="0006719D"/>
    <w:rsid w:val="000676FE"/>
    <w:rsid w:val="00067F82"/>
    <w:rsid w:val="00070272"/>
    <w:rsid w:val="0007034E"/>
    <w:rsid w:val="00070A6F"/>
    <w:rsid w:val="00073235"/>
    <w:rsid w:val="0007446C"/>
    <w:rsid w:val="0007673F"/>
    <w:rsid w:val="00076A21"/>
    <w:rsid w:val="00077996"/>
    <w:rsid w:val="00077C26"/>
    <w:rsid w:val="00077EB8"/>
    <w:rsid w:val="00080462"/>
    <w:rsid w:val="00081BDA"/>
    <w:rsid w:val="000832A5"/>
    <w:rsid w:val="00085D71"/>
    <w:rsid w:val="0008607E"/>
    <w:rsid w:val="000865E3"/>
    <w:rsid w:val="0008733D"/>
    <w:rsid w:val="000909E3"/>
    <w:rsid w:val="0009179F"/>
    <w:rsid w:val="000920EB"/>
    <w:rsid w:val="00093209"/>
    <w:rsid w:val="000938D0"/>
    <w:rsid w:val="00094C91"/>
    <w:rsid w:val="000950B9"/>
    <w:rsid w:val="00095337"/>
    <w:rsid w:val="00097E69"/>
    <w:rsid w:val="000A04F9"/>
    <w:rsid w:val="000A0AE3"/>
    <w:rsid w:val="000A0BCE"/>
    <w:rsid w:val="000A168F"/>
    <w:rsid w:val="000A1BA9"/>
    <w:rsid w:val="000A23CA"/>
    <w:rsid w:val="000A2481"/>
    <w:rsid w:val="000A2956"/>
    <w:rsid w:val="000A2965"/>
    <w:rsid w:val="000A3D00"/>
    <w:rsid w:val="000A4A83"/>
    <w:rsid w:val="000A5AA0"/>
    <w:rsid w:val="000A7323"/>
    <w:rsid w:val="000B0466"/>
    <w:rsid w:val="000B12A2"/>
    <w:rsid w:val="000B2227"/>
    <w:rsid w:val="000B2365"/>
    <w:rsid w:val="000B2632"/>
    <w:rsid w:val="000B2706"/>
    <w:rsid w:val="000B2EEF"/>
    <w:rsid w:val="000B3C1E"/>
    <w:rsid w:val="000B426E"/>
    <w:rsid w:val="000B64B7"/>
    <w:rsid w:val="000B7DEF"/>
    <w:rsid w:val="000C03CC"/>
    <w:rsid w:val="000C1422"/>
    <w:rsid w:val="000C3B55"/>
    <w:rsid w:val="000C43B9"/>
    <w:rsid w:val="000C44B8"/>
    <w:rsid w:val="000C588D"/>
    <w:rsid w:val="000C640E"/>
    <w:rsid w:val="000C65AF"/>
    <w:rsid w:val="000C65BB"/>
    <w:rsid w:val="000C6BCA"/>
    <w:rsid w:val="000C726D"/>
    <w:rsid w:val="000D2353"/>
    <w:rsid w:val="000D27D7"/>
    <w:rsid w:val="000D300A"/>
    <w:rsid w:val="000D34CC"/>
    <w:rsid w:val="000D37AF"/>
    <w:rsid w:val="000D3BAF"/>
    <w:rsid w:val="000D4DA6"/>
    <w:rsid w:val="000D56C7"/>
    <w:rsid w:val="000D5E6E"/>
    <w:rsid w:val="000D6F7E"/>
    <w:rsid w:val="000D7A54"/>
    <w:rsid w:val="000E05E8"/>
    <w:rsid w:val="000E0EC4"/>
    <w:rsid w:val="000E0F32"/>
    <w:rsid w:val="000E1252"/>
    <w:rsid w:val="000E132D"/>
    <w:rsid w:val="000E2156"/>
    <w:rsid w:val="000E21E4"/>
    <w:rsid w:val="000E2E69"/>
    <w:rsid w:val="000E4A6D"/>
    <w:rsid w:val="000E51B5"/>
    <w:rsid w:val="000E5B7C"/>
    <w:rsid w:val="000E75E6"/>
    <w:rsid w:val="000F0417"/>
    <w:rsid w:val="000F1660"/>
    <w:rsid w:val="000F253A"/>
    <w:rsid w:val="000F2E39"/>
    <w:rsid w:val="000F356A"/>
    <w:rsid w:val="000F6E8D"/>
    <w:rsid w:val="000F7CFD"/>
    <w:rsid w:val="00100A42"/>
    <w:rsid w:val="00101937"/>
    <w:rsid w:val="00101D4F"/>
    <w:rsid w:val="00101D6B"/>
    <w:rsid w:val="001023EE"/>
    <w:rsid w:val="00102FD5"/>
    <w:rsid w:val="0010426F"/>
    <w:rsid w:val="001045D4"/>
    <w:rsid w:val="0010604C"/>
    <w:rsid w:val="0010724A"/>
    <w:rsid w:val="0011160D"/>
    <w:rsid w:val="00112920"/>
    <w:rsid w:val="001140F2"/>
    <w:rsid w:val="00114691"/>
    <w:rsid w:val="001148DC"/>
    <w:rsid w:val="00114D0F"/>
    <w:rsid w:val="00114FB5"/>
    <w:rsid w:val="00116D51"/>
    <w:rsid w:val="00117928"/>
    <w:rsid w:val="00117E8B"/>
    <w:rsid w:val="00120E70"/>
    <w:rsid w:val="001212D8"/>
    <w:rsid w:val="00122591"/>
    <w:rsid w:val="001227A7"/>
    <w:rsid w:val="00122EAB"/>
    <w:rsid w:val="00125A3A"/>
    <w:rsid w:val="00125E77"/>
    <w:rsid w:val="001265FE"/>
    <w:rsid w:val="001269BF"/>
    <w:rsid w:val="001276B2"/>
    <w:rsid w:val="0013022F"/>
    <w:rsid w:val="001306C1"/>
    <w:rsid w:val="00131375"/>
    <w:rsid w:val="00131583"/>
    <w:rsid w:val="00133870"/>
    <w:rsid w:val="00134AEE"/>
    <w:rsid w:val="00135AF2"/>
    <w:rsid w:val="00135B64"/>
    <w:rsid w:val="00135DC9"/>
    <w:rsid w:val="00135DD5"/>
    <w:rsid w:val="00135E5E"/>
    <w:rsid w:val="00135EA8"/>
    <w:rsid w:val="00136718"/>
    <w:rsid w:val="00141716"/>
    <w:rsid w:val="00141F64"/>
    <w:rsid w:val="00142BC0"/>
    <w:rsid w:val="001430CD"/>
    <w:rsid w:val="00143E53"/>
    <w:rsid w:val="00144211"/>
    <w:rsid w:val="00146A05"/>
    <w:rsid w:val="0014759A"/>
    <w:rsid w:val="0014793F"/>
    <w:rsid w:val="00150EBC"/>
    <w:rsid w:val="00150EFD"/>
    <w:rsid w:val="00151444"/>
    <w:rsid w:val="00151F68"/>
    <w:rsid w:val="00153659"/>
    <w:rsid w:val="00154484"/>
    <w:rsid w:val="00155A5A"/>
    <w:rsid w:val="001568D8"/>
    <w:rsid w:val="00157D66"/>
    <w:rsid w:val="00161AA9"/>
    <w:rsid w:val="00162967"/>
    <w:rsid w:val="00164899"/>
    <w:rsid w:val="00164BAE"/>
    <w:rsid w:val="001653B2"/>
    <w:rsid w:val="001669A5"/>
    <w:rsid w:val="00173340"/>
    <w:rsid w:val="0017582F"/>
    <w:rsid w:val="00176FA3"/>
    <w:rsid w:val="0017774B"/>
    <w:rsid w:val="00177D80"/>
    <w:rsid w:val="00181F97"/>
    <w:rsid w:val="0018225F"/>
    <w:rsid w:val="001824F1"/>
    <w:rsid w:val="00185999"/>
    <w:rsid w:val="00186548"/>
    <w:rsid w:val="001872F4"/>
    <w:rsid w:val="001875FA"/>
    <w:rsid w:val="00191026"/>
    <w:rsid w:val="00191351"/>
    <w:rsid w:val="00191993"/>
    <w:rsid w:val="00191BED"/>
    <w:rsid w:val="00191FD3"/>
    <w:rsid w:val="00192C71"/>
    <w:rsid w:val="00192CC3"/>
    <w:rsid w:val="00193206"/>
    <w:rsid w:val="0019439D"/>
    <w:rsid w:val="001944AB"/>
    <w:rsid w:val="00194D93"/>
    <w:rsid w:val="0019526A"/>
    <w:rsid w:val="001952EE"/>
    <w:rsid w:val="001956F7"/>
    <w:rsid w:val="00196CE2"/>
    <w:rsid w:val="00197BD1"/>
    <w:rsid w:val="001A0222"/>
    <w:rsid w:val="001A0603"/>
    <w:rsid w:val="001A099A"/>
    <w:rsid w:val="001A0B69"/>
    <w:rsid w:val="001A105C"/>
    <w:rsid w:val="001A29A9"/>
    <w:rsid w:val="001A3245"/>
    <w:rsid w:val="001A6304"/>
    <w:rsid w:val="001A66D9"/>
    <w:rsid w:val="001A7D60"/>
    <w:rsid w:val="001B05AF"/>
    <w:rsid w:val="001B07DC"/>
    <w:rsid w:val="001B1A67"/>
    <w:rsid w:val="001B3354"/>
    <w:rsid w:val="001B4A17"/>
    <w:rsid w:val="001B4A91"/>
    <w:rsid w:val="001B4C38"/>
    <w:rsid w:val="001B5C77"/>
    <w:rsid w:val="001B61C4"/>
    <w:rsid w:val="001B6759"/>
    <w:rsid w:val="001B69DD"/>
    <w:rsid w:val="001B74E5"/>
    <w:rsid w:val="001C0990"/>
    <w:rsid w:val="001C1415"/>
    <w:rsid w:val="001C2463"/>
    <w:rsid w:val="001C6047"/>
    <w:rsid w:val="001C605F"/>
    <w:rsid w:val="001C6D3D"/>
    <w:rsid w:val="001C790F"/>
    <w:rsid w:val="001C7F3D"/>
    <w:rsid w:val="001D032E"/>
    <w:rsid w:val="001D1709"/>
    <w:rsid w:val="001D1875"/>
    <w:rsid w:val="001D19E0"/>
    <w:rsid w:val="001D1C6C"/>
    <w:rsid w:val="001D239C"/>
    <w:rsid w:val="001D26C2"/>
    <w:rsid w:val="001D38F4"/>
    <w:rsid w:val="001D39BE"/>
    <w:rsid w:val="001D6647"/>
    <w:rsid w:val="001D6AA3"/>
    <w:rsid w:val="001D6DC8"/>
    <w:rsid w:val="001D79EC"/>
    <w:rsid w:val="001E09E4"/>
    <w:rsid w:val="001E0DD2"/>
    <w:rsid w:val="001E0FDE"/>
    <w:rsid w:val="001E476B"/>
    <w:rsid w:val="001E530C"/>
    <w:rsid w:val="001E5A08"/>
    <w:rsid w:val="001E5D08"/>
    <w:rsid w:val="001E6FE6"/>
    <w:rsid w:val="001E7EBD"/>
    <w:rsid w:val="001F0135"/>
    <w:rsid w:val="001F0379"/>
    <w:rsid w:val="001F11C4"/>
    <w:rsid w:val="001F235A"/>
    <w:rsid w:val="001F3963"/>
    <w:rsid w:val="001F5D86"/>
    <w:rsid w:val="001F6A33"/>
    <w:rsid w:val="001F7127"/>
    <w:rsid w:val="001F7165"/>
    <w:rsid w:val="001F7DEF"/>
    <w:rsid w:val="002000EC"/>
    <w:rsid w:val="00200178"/>
    <w:rsid w:val="00200E63"/>
    <w:rsid w:val="00202B0A"/>
    <w:rsid w:val="00202FDB"/>
    <w:rsid w:val="00203120"/>
    <w:rsid w:val="0020380A"/>
    <w:rsid w:val="00203D54"/>
    <w:rsid w:val="0021059D"/>
    <w:rsid w:val="002105D7"/>
    <w:rsid w:val="002106CE"/>
    <w:rsid w:val="002109E8"/>
    <w:rsid w:val="00211A8E"/>
    <w:rsid w:val="0021366B"/>
    <w:rsid w:val="00214755"/>
    <w:rsid w:val="00215B63"/>
    <w:rsid w:val="00215E03"/>
    <w:rsid w:val="0021756F"/>
    <w:rsid w:val="00217947"/>
    <w:rsid w:val="00217E12"/>
    <w:rsid w:val="00221303"/>
    <w:rsid w:val="00221CD1"/>
    <w:rsid w:val="002235CB"/>
    <w:rsid w:val="00223DC3"/>
    <w:rsid w:val="00224D10"/>
    <w:rsid w:val="00225914"/>
    <w:rsid w:val="002270F6"/>
    <w:rsid w:val="002274B6"/>
    <w:rsid w:val="002279ED"/>
    <w:rsid w:val="00230C95"/>
    <w:rsid w:val="00230F98"/>
    <w:rsid w:val="0023158B"/>
    <w:rsid w:val="002316EA"/>
    <w:rsid w:val="00231F4A"/>
    <w:rsid w:val="0023223F"/>
    <w:rsid w:val="00233424"/>
    <w:rsid w:val="00233C41"/>
    <w:rsid w:val="00234ABA"/>
    <w:rsid w:val="002363EE"/>
    <w:rsid w:val="00236561"/>
    <w:rsid w:val="00236E58"/>
    <w:rsid w:val="00237D35"/>
    <w:rsid w:val="00240590"/>
    <w:rsid w:val="002408FC"/>
    <w:rsid w:val="002409A8"/>
    <w:rsid w:val="00241059"/>
    <w:rsid w:val="002436C0"/>
    <w:rsid w:val="00243776"/>
    <w:rsid w:val="0024681B"/>
    <w:rsid w:val="00246F7C"/>
    <w:rsid w:val="0025006C"/>
    <w:rsid w:val="00250729"/>
    <w:rsid w:val="00250D59"/>
    <w:rsid w:val="00251BA0"/>
    <w:rsid w:val="002523E7"/>
    <w:rsid w:val="002524A2"/>
    <w:rsid w:val="00254373"/>
    <w:rsid w:val="00254C6C"/>
    <w:rsid w:val="0025500D"/>
    <w:rsid w:val="0025522A"/>
    <w:rsid w:val="00255717"/>
    <w:rsid w:val="00256977"/>
    <w:rsid w:val="00256BB8"/>
    <w:rsid w:val="00256F9B"/>
    <w:rsid w:val="002571E7"/>
    <w:rsid w:val="00257995"/>
    <w:rsid w:val="00257B9D"/>
    <w:rsid w:val="00261F16"/>
    <w:rsid w:val="00261F87"/>
    <w:rsid w:val="00262937"/>
    <w:rsid w:val="00263E71"/>
    <w:rsid w:val="00264F5A"/>
    <w:rsid w:val="00265145"/>
    <w:rsid w:val="00265286"/>
    <w:rsid w:val="00265770"/>
    <w:rsid w:val="00266148"/>
    <w:rsid w:val="0026649C"/>
    <w:rsid w:val="00266659"/>
    <w:rsid w:val="00267D46"/>
    <w:rsid w:val="00267E49"/>
    <w:rsid w:val="00270CAC"/>
    <w:rsid w:val="00271543"/>
    <w:rsid w:val="00271AA8"/>
    <w:rsid w:val="0027216D"/>
    <w:rsid w:val="0027275E"/>
    <w:rsid w:val="00274A2C"/>
    <w:rsid w:val="00275540"/>
    <w:rsid w:val="0027634D"/>
    <w:rsid w:val="00276714"/>
    <w:rsid w:val="00276BC2"/>
    <w:rsid w:val="002773F6"/>
    <w:rsid w:val="00281271"/>
    <w:rsid w:val="00281E8B"/>
    <w:rsid w:val="0028221F"/>
    <w:rsid w:val="00283919"/>
    <w:rsid w:val="00283EEC"/>
    <w:rsid w:val="0028483A"/>
    <w:rsid w:val="00284B3F"/>
    <w:rsid w:val="002853B4"/>
    <w:rsid w:val="00286FCC"/>
    <w:rsid w:val="00290E81"/>
    <w:rsid w:val="0029150D"/>
    <w:rsid w:val="00291809"/>
    <w:rsid w:val="002924C8"/>
    <w:rsid w:val="00292CE4"/>
    <w:rsid w:val="002939D0"/>
    <w:rsid w:val="0029489E"/>
    <w:rsid w:val="0029491D"/>
    <w:rsid w:val="00295E38"/>
    <w:rsid w:val="00296592"/>
    <w:rsid w:val="00296B34"/>
    <w:rsid w:val="00297885"/>
    <w:rsid w:val="002A0F09"/>
    <w:rsid w:val="002A1512"/>
    <w:rsid w:val="002A2C1B"/>
    <w:rsid w:val="002A3789"/>
    <w:rsid w:val="002A3BAB"/>
    <w:rsid w:val="002A4244"/>
    <w:rsid w:val="002A476F"/>
    <w:rsid w:val="002A5476"/>
    <w:rsid w:val="002B0940"/>
    <w:rsid w:val="002B0ACD"/>
    <w:rsid w:val="002B0D5F"/>
    <w:rsid w:val="002B678E"/>
    <w:rsid w:val="002B6EC8"/>
    <w:rsid w:val="002C0257"/>
    <w:rsid w:val="002C14DE"/>
    <w:rsid w:val="002C3175"/>
    <w:rsid w:val="002C32C9"/>
    <w:rsid w:val="002C3410"/>
    <w:rsid w:val="002C392A"/>
    <w:rsid w:val="002C3989"/>
    <w:rsid w:val="002C4C02"/>
    <w:rsid w:val="002C52EA"/>
    <w:rsid w:val="002C552A"/>
    <w:rsid w:val="002C67D4"/>
    <w:rsid w:val="002D2018"/>
    <w:rsid w:val="002D23BF"/>
    <w:rsid w:val="002D3262"/>
    <w:rsid w:val="002D375F"/>
    <w:rsid w:val="002D47B5"/>
    <w:rsid w:val="002D51D0"/>
    <w:rsid w:val="002D5818"/>
    <w:rsid w:val="002D6C2F"/>
    <w:rsid w:val="002D747D"/>
    <w:rsid w:val="002D78BD"/>
    <w:rsid w:val="002D7B58"/>
    <w:rsid w:val="002D7E62"/>
    <w:rsid w:val="002E06FA"/>
    <w:rsid w:val="002E231B"/>
    <w:rsid w:val="002E37D6"/>
    <w:rsid w:val="002E7CCA"/>
    <w:rsid w:val="002F0801"/>
    <w:rsid w:val="002F282E"/>
    <w:rsid w:val="002F34A0"/>
    <w:rsid w:val="002F49B8"/>
    <w:rsid w:val="002F6AA6"/>
    <w:rsid w:val="002F77BC"/>
    <w:rsid w:val="003002C1"/>
    <w:rsid w:val="0030161D"/>
    <w:rsid w:val="00301D07"/>
    <w:rsid w:val="0030231F"/>
    <w:rsid w:val="00304574"/>
    <w:rsid w:val="003055BB"/>
    <w:rsid w:val="00305897"/>
    <w:rsid w:val="00306C23"/>
    <w:rsid w:val="00307520"/>
    <w:rsid w:val="00310647"/>
    <w:rsid w:val="003106CD"/>
    <w:rsid w:val="00310CB7"/>
    <w:rsid w:val="0031106C"/>
    <w:rsid w:val="003115A7"/>
    <w:rsid w:val="00311DB0"/>
    <w:rsid w:val="0031264B"/>
    <w:rsid w:val="0031292F"/>
    <w:rsid w:val="00313026"/>
    <w:rsid w:val="00313163"/>
    <w:rsid w:val="00313BE0"/>
    <w:rsid w:val="003157AC"/>
    <w:rsid w:val="00316003"/>
    <w:rsid w:val="0031763C"/>
    <w:rsid w:val="0032027E"/>
    <w:rsid w:val="00321B96"/>
    <w:rsid w:val="00322AF2"/>
    <w:rsid w:val="00323289"/>
    <w:rsid w:val="00323344"/>
    <w:rsid w:val="0032384C"/>
    <w:rsid w:val="00323F3C"/>
    <w:rsid w:val="00324EFC"/>
    <w:rsid w:val="00325DA1"/>
    <w:rsid w:val="00326548"/>
    <w:rsid w:val="00327A35"/>
    <w:rsid w:val="00330843"/>
    <w:rsid w:val="00330D82"/>
    <w:rsid w:val="00330E29"/>
    <w:rsid w:val="00331A04"/>
    <w:rsid w:val="00331F28"/>
    <w:rsid w:val="00332A39"/>
    <w:rsid w:val="00333A42"/>
    <w:rsid w:val="00333CBF"/>
    <w:rsid w:val="003349CD"/>
    <w:rsid w:val="003351ED"/>
    <w:rsid w:val="00335EB6"/>
    <w:rsid w:val="0033607A"/>
    <w:rsid w:val="00336516"/>
    <w:rsid w:val="00336B7C"/>
    <w:rsid w:val="00340DFE"/>
    <w:rsid w:val="003432BA"/>
    <w:rsid w:val="003437DE"/>
    <w:rsid w:val="00345750"/>
    <w:rsid w:val="003466DC"/>
    <w:rsid w:val="00346B9D"/>
    <w:rsid w:val="00347A72"/>
    <w:rsid w:val="00351228"/>
    <w:rsid w:val="003533DF"/>
    <w:rsid w:val="003541C8"/>
    <w:rsid w:val="003542F1"/>
    <w:rsid w:val="003552BB"/>
    <w:rsid w:val="003554ED"/>
    <w:rsid w:val="0035584E"/>
    <w:rsid w:val="00356983"/>
    <w:rsid w:val="0035734B"/>
    <w:rsid w:val="0035772C"/>
    <w:rsid w:val="003578A6"/>
    <w:rsid w:val="0036003F"/>
    <w:rsid w:val="003607B7"/>
    <w:rsid w:val="00360F2A"/>
    <w:rsid w:val="003611D6"/>
    <w:rsid w:val="00361ECC"/>
    <w:rsid w:val="00361F84"/>
    <w:rsid w:val="00365050"/>
    <w:rsid w:val="00365173"/>
    <w:rsid w:val="00365B1A"/>
    <w:rsid w:val="00365F7B"/>
    <w:rsid w:val="0036722B"/>
    <w:rsid w:val="00374196"/>
    <w:rsid w:val="00374313"/>
    <w:rsid w:val="003762A7"/>
    <w:rsid w:val="00377D74"/>
    <w:rsid w:val="00377DA9"/>
    <w:rsid w:val="00380175"/>
    <w:rsid w:val="00380CD0"/>
    <w:rsid w:val="00381936"/>
    <w:rsid w:val="003825D2"/>
    <w:rsid w:val="00383463"/>
    <w:rsid w:val="003842BD"/>
    <w:rsid w:val="003843F4"/>
    <w:rsid w:val="00384F56"/>
    <w:rsid w:val="003858F0"/>
    <w:rsid w:val="00386E2E"/>
    <w:rsid w:val="003876A8"/>
    <w:rsid w:val="003901AC"/>
    <w:rsid w:val="00390733"/>
    <w:rsid w:val="00392166"/>
    <w:rsid w:val="0039219A"/>
    <w:rsid w:val="0039241C"/>
    <w:rsid w:val="003926E8"/>
    <w:rsid w:val="00392901"/>
    <w:rsid w:val="00392B10"/>
    <w:rsid w:val="003939F2"/>
    <w:rsid w:val="003949FD"/>
    <w:rsid w:val="00395A03"/>
    <w:rsid w:val="00395E8B"/>
    <w:rsid w:val="00396866"/>
    <w:rsid w:val="00396FAB"/>
    <w:rsid w:val="00397220"/>
    <w:rsid w:val="00397C35"/>
    <w:rsid w:val="003A10C7"/>
    <w:rsid w:val="003A1263"/>
    <w:rsid w:val="003A1C4F"/>
    <w:rsid w:val="003A29EF"/>
    <w:rsid w:val="003A3AB4"/>
    <w:rsid w:val="003A502D"/>
    <w:rsid w:val="003A5939"/>
    <w:rsid w:val="003A60D7"/>
    <w:rsid w:val="003A6B2B"/>
    <w:rsid w:val="003A6DE9"/>
    <w:rsid w:val="003A7198"/>
    <w:rsid w:val="003A746C"/>
    <w:rsid w:val="003B1748"/>
    <w:rsid w:val="003B1C8D"/>
    <w:rsid w:val="003B20B0"/>
    <w:rsid w:val="003B2954"/>
    <w:rsid w:val="003B3812"/>
    <w:rsid w:val="003B3832"/>
    <w:rsid w:val="003B3E45"/>
    <w:rsid w:val="003B3FE7"/>
    <w:rsid w:val="003B6038"/>
    <w:rsid w:val="003B76B0"/>
    <w:rsid w:val="003C0E30"/>
    <w:rsid w:val="003C1526"/>
    <w:rsid w:val="003C1B1C"/>
    <w:rsid w:val="003C205F"/>
    <w:rsid w:val="003C3736"/>
    <w:rsid w:val="003C3F94"/>
    <w:rsid w:val="003C5348"/>
    <w:rsid w:val="003C5771"/>
    <w:rsid w:val="003C5C82"/>
    <w:rsid w:val="003D0272"/>
    <w:rsid w:val="003D1003"/>
    <w:rsid w:val="003D34DA"/>
    <w:rsid w:val="003D50DB"/>
    <w:rsid w:val="003D5E73"/>
    <w:rsid w:val="003D683E"/>
    <w:rsid w:val="003D6869"/>
    <w:rsid w:val="003D6BAA"/>
    <w:rsid w:val="003D7B36"/>
    <w:rsid w:val="003D7BA1"/>
    <w:rsid w:val="003E116A"/>
    <w:rsid w:val="003E1548"/>
    <w:rsid w:val="003E1A94"/>
    <w:rsid w:val="003E255D"/>
    <w:rsid w:val="003E2C8A"/>
    <w:rsid w:val="003E3EAF"/>
    <w:rsid w:val="003E41D8"/>
    <w:rsid w:val="003E497B"/>
    <w:rsid w:val="003E662C"/>
    <w:rsid w:val="003E67DE"/>
    <w:rsid w:val="003F0007"/>
    <w:rsid w:val="003F02C9"/>
    <w:rsid w:val="003F050E"/>
    <w:rsid w:val="003F1730"/>
    <w:rsid w:val="003F23A7"/>
    <w:rsid w:val="003F29B6"/>
    <w:rsid w:val="003F3C40"/>
    <w:rsid w:val="003F508F"/>
    <w:rsid w:val="003F5148"/>
    <w:rsid w:val="003F6831"/>
    <w:rsid w:val="003F6D6A"/>
    <w:rsid w:val="0040070A"/>
    <w:rsid w:val="00400982"/>
    <w:rsid w:val="00401119"/>
    <w:rsid w:val="00401705"/>
    <w:rsid w:val="00401EAB"/>
    <w:rsid w:val="00402804"/>
    <w:rsid w:val="00402FF7"/>
    <w:rsid w:val="0040449D"/>
    <w:rsid w:val="004048EA"/>
    <w:rsid w:val="00407196"/>
    <w:rsid w:val="00407BB1"/>
    <w:rsid w:val="00410380"/>
    <w:rsid w:val="0041184D"/>
    <w:rsid w:val="00412891"/>
    <w:rsid w:val="0041364C"/>
    <w:rsid w:val="00414C98"/>
    <w:rsid w:val="004167BB"/>
    <w:rsid w:val="0041743F"/>
    <w:rsid w:val="00421CBC"/>
    <w:rsid w:val="00422114"/>
    <w:rsid w:val="0042267F"/>
    <w:rsid w:val="004253C3"/>
    <w:rsid w:val="00425CA3"/>
    <w:rsid w:val="00426D22"/>
    <w:rsid w:val="0042715B"/>
    <w:rsid w:val="004271A3"/>
    <w:rsid w:val="00427D04"/>
    <w:rsid w:val="004301DD"/>
    <w:rsid w:val="00431411"/>
    <w:rsid w:val="004326D2"/>
    <w:rsid w:val="00433950"/>
    <w:rsid w:val="00433AB1"/>
    <w:rsid w:val="00433BEF"/>
    <w:rsid w:val="00434F08"/>
    <w:rsid w:val="00435725"/>
    <w:rsid w:val="0043708C"/>
    <w:rsid w:val="004378BA"/>
    <w:rsid w:val="004379E2"/>
    <w:rsid w:val="00437A08"/>
    <w:rsid w:val="00440D26"/>
    <w:rsid w:val="00442A3A"/>
    <w:rsid w:val="00442E98"/>
    <w:rsid w:val="00442F90"/>
    <w:rsid w:val="004432DD"/>
    <w:rsid w:val="0044461C"/>
    <w:rsid w:val="0044488E"/>
    <w:rsid w:val="004449EA"/>
    <w:rsid w:val="00444EBF"/>
    <w:rsid w:val="00447086"/>
    <w:rsid w:val="00447401"/>
    <w:rsid w:val="00447D9C"/>
    <w:rsid w:val="0045010B"/>
    <w:rsid w:val="00450133"/>
    <w:rsid w:val="004506F3"/>
    <w:rsid w:val="00450FC1"/>
    <w:rsid w:val="00451514"/>
    <w:rsid w:val="00453096"/>
    <w:rsid w:val="00454439"/>
    <w:rsid w:val="0045468F"/>
    <w:rsid w:val="00455CDC"/>
    <w:rsid w:val="00455EE9"/>
    <w:rsid w:val="0045652A"/>
    <w:rsid w:val="004568AC"/>
    <w:rsid w:val="00457796"/>
    <w:rsid w:val="00457C64"/>
    <w:rsid w:val="00457D09"/>
    <w:rsid w:val="00457DB0"/>
    <w:rsid w:val="0046007E"/>
    <w:rsid w:val="00461ACC"/>
    <w:rsid w:val="00461F0C"/>
    <w:rsid w:val="004624FD"/>
    <w:rsid w:val="00462729"/>
    <w:rsid w:val="004633AB"/>
    <w:rsid w:val="004641F9"/>
    <w:rsid w:val="00464410"/>
    <w:rsid w:val="004644C9"/>
    <w:rsid w:val="00465EAE"/>
    <w:rsid w:val="00465EC1"/>
    <w:rsid w:val="00465EC8"/>
    <w:rsid w:val="00466184"/>
    <w:rsid w:val="0046761E"/>
    <w:rsid w:val="00470B47"/>
    <w:rsid w:val="00471006"/>
    <w:rsid w:val="004710E4"/>
    <w:rsid w:val="0047185E"/>
    <w:rsid w:val="0047420B"/>
    <w:rsid w:val="004758FB"/>
    <w:rsid w:val="00477906"/>
    <w:rsid w:val="00477E3E"/>
    <w:rsid w:val="004802CD"/>
    <w:rsid w:val="00480C6C"/>
    <w:rsid w:val="004813C5"/>
    <w:rsid w:val="00481CA2"/>
    <w:rsid w:val="00481CCE"/>
    <w:rsid w:val="00483230"/>
    <w:rsid w:val="00483A42"/>
    <w:rsid w:val="004842BC"/>
    <w:rsid w:val="00485A8B"/>
    <w:rsid w:val="00485EBA"/>
    <w:rsid w:val="00487D58"/>
    <w:rsid w:val="00491C7B"/>
    <w:rsid w:val="00492405"/>
    <w:rsid w:val="00492D18"/>
    <w:rsid w:val="0049380F"/>
    <w:rsid w:val="00494CF0"/>
    <w:rsid w:val="00495EA4"/>
    <w:rsid w:val="004960AB"/>
    <w:rsid w:val="00496FF7"/>
    <w:rsid w:val="00497943"/>
    <w:rsid w:val="004A0889"/>
    <w:rsid w:val="004A0B48"/>
    <w:rsid w:val="004A0D66"/>
    <w:rsid w:val="004A12BD"/>
    <w:rsid w:val="004A20E6"/>
    <w:rsid w:val="004A246E"/>
    <w:rsid w:val="004A2833"/>
    <w:rsid w:val="004A36B9"/>
    <w:rsid w:val="004A40DC"/>
    <w:rsid w:val="004A58C2"/>
    <w:rsid w:val="004A5B91"/>
    <w:rsid w:val="004A5F8A"/>
    <w:rsid w:val="004A6FD6"/>
    <w:rsid w:val="004B09B0"/>
    <w:rsid w:val="004B19FD"/>
    <w:rsid w:val="004B2AF2"/>
    <w:rsid w:val="004B5248"/>
    <w:rsid w:val="004B53A2"/>
    <w:rsid w:val="004B596B"/>
    <w:rsid w:val="004B5A1A"/>
    <w:rsid w:val="004B5ACD"/>
    <w:rsid w:val="004B7945"/>
    <w:rsid w:val="004C0930"/>
    <w:rsid w:val="004C147C"/>
    <w:rsid w:val="004C1A16"/>
    <w:rsid w:val="004C1C8D"/>
    <w:rsid w:val="004C4708"/>
    <w:rsid w:val="004C4DED"/>
    <w:rsid w:val="004C515A"/>
    <w:rsid w:val="004C7956"/>
    <w:rsid w:val="004D0B30"/>
    <w:rsid w:val="004D1FD4"/>
    <w:rsid w:val="004D23C3"/>
    <w:rsid w:val="004D29CA"/>
    <w:rsid w:val="004D36FD"/>
    <w:rsid w:val="004D3C07"/>
    <w:rsid w:val="004D417D"/>
    <w:rsid w:val="004D4D5D"/>
    <w:rsid w:val="004D6EEF"/>
    <w:rsid w:val="004D71A5"/>
    <w:rsid w:val="004E0F83"/>
    <w:rsid w:val="004E123A"/>
    <w:rsid w:val="004E1983"/>
    <w:rsid w:val="004E3669"/>
    <w:rsid w:val="004E37C8"/>
    <w:rsid w:val="004E5821"/>
    <w:rsid w:val="004E6476"/>
    <w:rsid w:val="004E6516"/>
    <w:rsid w:val="004E6F92"/>
    <w:rsid w:val="004F0704"/>
    <w:rsid w:val="004F317A"/>
    <w:rsid w:val="004F3B42"/>
    <w:rsid w:val="004F4D28"/>
    <w:rsid w:val="004F55EE"/>
    <w:rsid w:val="004F6153"/>
    <w:rsid w:val="004F7C7F"/>
    <w:rsid w:val="004F7DEF"/>
    <w:rsid w:val="004F7E50"/>
    <w:rsid w:val="00500A90"/>
    <w:rsid w:val="00501B7E"/>
    <w:rsid w:val="00501C85"/>
    <w:rsid w:val="00501E09"/>
    <w:rsid w:val="00501FF3"/>
    <w:rsid w:val="00502890"/>
    <w:rsid w:val="00505573"/>
    <w:rsid w:val="005056F9"/>
    <w:rsid w:val="00505A54"/>
    <w:rsid w:val="00505BF7"/>
    <w:rsid w:val="00505EDC"/>
    <w:rsid w:val="005060B2"/>
    <w:rsid w:val="00507A28"/>
    <w:rsid w:val="00511315"/>
    <w:rsid w:val="00511527"/>
    <w:rsid w:val="005117FC"/>
    <w:rsid w:val="00511B07"/>
    <w:rsid w:val="005127DC"/>
    <w:rsid w:val="00512960"/>
    <w:rsid w:val="005129A4"/>
    <w:rsid w:val="00512BB5"/>
    <w:rsid w:val="00512EB5"/>
    <w:rsid w:val="00513A97"/>
    <w:rsid w:val="005148E7"/>
    <w:rsid w:val="00514C84"/>
    <w:rsid w:val="005157CF"/>
    <w:rsid w:val="00515D5B"/>
    <w:rsid w:val="00515F1B"/>
    <w:rsid w:val="0051720B"/>
    <w:rsid w:val="00520689"/>
    <w:rsid w:val="00521500"/>
    <w:rsid w:val="005219E9"/>
    <w:rsid w:val="00522F0C"/>
    <w:rsid w:val="005230A2"/>
    <w:rsid w:val="00523E1A"/>
    <w:rsid w:val="00524B5E"/>
    <w:rsid w:val="00525058"/>
    <w:rsid w:val="00525851"/>
    <w:rsid w:val="005267B5"/>
    <w:rsid w:val="0053097E"/>
    <w:rsid w:val="00530B0B"/>
    <w:rsid w:val="005310AC"/>
    <w:rsid w:val="00531AD3"/>
    <w:rsid w:val="00532BE6"/>
    <w:rsid w:val="00533301"/>
    <w:rsid w:val="00533D25"/>
    <w:rsid w:val="00533EA6"/>
    <w:rsid w:val="00534168"/>
    <w:rsid w:val="0053586D"/>
    <w:rsid w:val="0053693E"/>
    <w:rsid w:val="00536C7C"/>
    <w:rsid w:val="00540E46"/>
    <w:rsid w:val="00541504"/>
    <w:rsid w:val="00543598"/>
    <w:rsid w:val="00543AF9"/>
    <w:rsid w:val="00544835"/>
    <w:rsid w:val="00544CD2"/>
    <w:rsid w:val="00545A26"/>
    <w:rsid w:val="00550A39"/>
    <w:rsid w:val="00552166"/>
    <w:rsid w:val="005521BF"/>
    <w:rsid w:val="005527CC"/>
    <w:rsid w:val="00552C91"/>
    <w:rsid w:val="00552E0B"/>
    <w:rsid w:val="005535B5"/>
    <w:rsid w:val="00553E07"/>
    <w:rsid w:val="00554479"/>
    <w:rsid w:val="00554C4A"/>
    <w:rsid w:val="0055578C"/>
    <w:rsid w:val="00555D35"/>
    <w:rsid w:val="00556514"/>
    <w:rsid w:val="005566A3"/>
    <w:rsid w:val="00557C34"/>
    <w:rsid w:val="00557F72"/>
    <w:rsid w:val="00560435"/>
    <w:rsid w:val="00560589"/>
    <w:rsid w:val="0056120E"/>
    <w:rsid w:val="00561915"/>
    <w:rsid w:val="005626DA"/>
    <w:rsid w:val="0056313F"/>
    <w:rsid w:val="00563397"/>
    <w:rsid w:val="00564673"/>
    <w:rsid w:val="00566338"/>
    <w:rsid w:val="005669A3"/>
    <w:rsid w:val="00567F60"/>
    <w:rsid w:val="00570138"/>
    <w:rsid w:val="00572F53"/>
    <w:rsid w:val="00573CCF"/>
    <w:rsid w:val="00573CE3"/>
    <w:rsid w:val="00573ECC"/>
    <w:rsid w:val="00573F18"/>
    <w:rsid w:val="0057400C"/>
    <w:rsid w:val="00576749"/>
    <w:rsid w:val="0057714A"/>
    <w:rsid w:val="00577FB0"/>
    <w:rsid w:val="00580CE4"/>
    <w:rsid w:val="00581022"/>
    <w:rsid w:val="00581506"/>
    <w:rsid w:val="00582772"/>
    <w:rsid w:val="0058401A"/>
    <w:rsid w:val="0058451F"/>
    <w:rsid w:val="00584D65"/>
    <w:rsid w:val="0058580E"/>
    <w:rsid w:val="005859DA"/>
    <w:rsid w:val="005864E1"/>
    <w:rsid w:val="005869CE"/>
    <w:rsid w:val="00587093"/>
    <w:rsid w:val="00587799"/>
    <w:rsid w:val="00587F1D"/>
    <w:rsid w:val="00590949"/>
    <w:rsid w:val="005913A8"/>
    <w:rsid w:val="005915E4"/>
    <w:rsid w:val="00591EF6"/>
    <w:rsid w:val="00592208"/>
    <w:rsid w:val="0059267F"/>
    <w:rsid w:val="00593F86"/>
    <w:rsid w:val="005942C2"/>
    <w:rsid w:val="00594B79"/>
    <w:rsid w:val="00594CC4"/>
    <w:rsid w:val="00594EE8"/>
    <w:rsid w:val="005954FD"/>
    <w:rsid w:val="005970B9"/>
    <w:rsid w:val="005971F2"/>
    <w:rsid w:val="005A01E7"/>
    <w:rsid w:val="005A199D"/>
    <w:rsid w:val="005A314E"/>
    <w:rsid w:val="005A3773"/>
    <w:rsid w:val="005A3939"/>
    <w:rsid w:val="005A396E"/>
    <w:rsid w:val="005A41A5"/>
    <w:rsid w:val="005A471D"/>
    <w:rsid w:val="005A4B6B"/>
    <w:rsid w:val="005A5E4F"/>
    <w:rsid w:val="005A6FAF"/>
    <w:rsid w:val="005A74DD"/>
    <w:rsid w:val="005A78F0"/>
    <w:rsid w:val="005A7E12"/>
    <w:rsid w:val="005B053A"/>
    <w:rsid w:val="005B069A"/>
    <w:rsid w:val="005B096E"/>
    <w:rsid w:val="005B146C"/>
    <w:rsid w:val="005B1EA0"/>
    <w:rsid w:val="005B2158"/>
    <w:rsid w:val="005B4D8F"/>
    <w:rsid w:val="005B5B14"/>
    <w:rsid w:val="005C0B74"/>
    <w:rsid w:val="005C0F12"/>
    <w:rsid w:val="005C185D"/>
    <w:rsid w:val="005C1ADF"/>
    <w:rsid w:val="005C2E52"/>
    <w:rsid w:val="005C4C16"/>
    <w:rsid w:val="005C4EF8"/>
    <w:rsid w:val="005C4F2F"/>
    <w:rsid w:val="005C50CA"/>
    <w:rsid w:val="005C5CCA"/>
    <w:rsid w:val="005C6824"/>
    <w:rsid w:val="005C70F2"/>
    <w:rsid w:val="005D02CD"/>
    <w:rsid w:val="005D0995"/>
    <w:rsid w:val="005D0E7A"/>
    <w:rsid w:val="005D1604"/>
    <w:rsid w:val="005D1A87"/>
    <w:rsid w:val="005D1C8E"/>
    <w:rsid w:val="005D1DBD"/>
    <w:rsid w:val="005D2018"/>
    <w:rsid w:val="005D23DA"/>
    <w:rsid w:val="005D265F"/>
    <w:rsid w:val="005D4904"/>
    <w:rsid w:val="005D51F8"/>
    <w:rsid w:val="005E0641"/>
    <w:rsid w:val="005E0B9D"/>
    <w:rsid w:val="005E0E80"/>
    <w:rsid w:val="005E11C5"/>
    <w:rsid w:val="005E12FB"/>
    <w:rsid w:val="005E1388"/>
    <w:rsid w:val="005E1D65"/>
    <w:rsid w:val="005E75DF"/>
    <w:rsid w:val="005E7957"/>
    <w:rsid w:val="005F1707"/>
    <w:rsid w:val="005F21AA"/>
    <w:rsid w:val="005F3628"/>
    <w:rsid w:val="005F3BFF"/>
    <w:rsid w:val="005F5F82"/>
    <w:rsid w:val="005F6199"/>
    <w:rsid w:val="005F684D"/>
    <w:rsid w:val="005F700B"/>
    <w:rsid w:val="005F72C8"/>
    <w:rsid w:val="006003C6"/>
    <w:rsid w:val="006025B8"/>
    <w:rsid w:val="00603235"/>
    <w:rsid w:val="0060487E"/>
    <w:rsid w:val="00605D36"/>
    <w:rsid w:val="00606703"/>
    <w:rsid w:val="00606CB2"/>
    <w:rsid w:val="00606DEF"/>
    <w:rsid w:val="00607006"/>
    <w:rsid w:val="006070CB"/>
    <w:rsid w:val="006076CC"/>
    <w:rsid w:val="00607CEB"/>
    <w:rsid w:val="0061181B"/>
    <w:rsid w:val="00611EC9"/>
    <w:rsid w:val="00612836"/>
    <w:rsid w:val="006138D5"/>
    <w:rsid w:val="00614EF2"/>
    <w:rsid w:val="00615F9D"/>
    <w:rsid w:val="00617BC9"/>
    <w:rsid w:val="00617D71"/>
    <w:rsid w:val="00620718"/>
    <w:rsid w:val="00621698"/>
    <w:rsid w:val="006219E4"/>
    <w:rsid w:val="00621CEB"/>
    <w:rsid w:val="00621DDB"/>
    <w:rsid w:val="00621FD0"/>
    <w:rsid w:val="00622564"/>
    <w:rsid w:val="00622841"/>
    <w:rsid w:val="0062285A"/>
    <w:rsid w:val="0062381E"/>
    <w:rsid w:val="0062427B"/>
    <w:rsid w:val="006247C2"/>
    <w:rsid w:val="00625507"/>
    <w:rsid w:val="006260F8"/>
    <w:rsid w:val="00627896"/>
    <w:rsid w:val="006308FE"/>
    <w:rsid w:val="00630FB7"/>
    <w:rsid w:val="006332FF"/>
    <w:rsid w:val="00633CD9"/>
    <w:rsid w:val="00633D04"/>
    <w:rsid w:val="00634457"/>
    <w:rsid w:val="00634E69"/>
    <w:rsid w:val="006372A5"/>
    <w:rsid w:val="0063730D"/>
    <w:rsid w:val="006406F5"/>
    <w:rsid w:val="00640B23"/>
    <w:rsid w:val="00640DB7"/>
    <w:rsid w:val="00641765"/>
    <w:rsid w:val="00642A8A"/>
    <w:rsid w:val="00642FDA"/>
    <w:rsid w:val="0064425D"/>
    <w:rsid w:val="006445A0"/>
    <w:rsid w:val="0064468E"/>
    <w:rsid w:val="006450A2"/>
    <w:rsid w:val="0064583F"/>
    <w:rsid w:val="00645F8F"/>
    <w:rsid w:val="006467A7"/>
    <w:rsid w:val="0064769B"/>
    <w:rsid w:val="00647A92"/>
    <w:rsid w:val="00647EBC"/>
    <w:rsid w:val="006521F3"/>
    <w:rsid w:val="0065306A"/>
    <w:rsid w:val="00653E20"/>
    <w:rsid w:val="00655807"/>
    <w:rsid w:val="00657166"/>
    <w:rsid w:val="00660200"/>
    <w:rsid w:val="0066163E"/>
    <w:rsid w:val="00661F6D"/>
    <w:rsid w:val="00662276"/>
    <w:rsid w:val="00662A38"/>
    <w:rsid w:val="00663CC2"/>
    <w:rsid w:val="00664B18"/>
    <w:rsid w:val="00665627"/>
    <w:rsid w:val="00665DC3"/>
    <w:rsid w:val="006663F3"/>
    <w:rsid w:val="0066679C"/>
    <w:rsid w:val="00666930"/>
    <w:rsid w:val="00666C37"/>
    <w:rsid w:val="00666F54"/>
    <w:rsid w:val="0066786A"/>
    <w:rsid w:val="00667D87"/>
    <w:rsid w:val="00667EDE"/>
    <w:rsid w:val="006702EE"/>
    <w:rsid w:val="0067247F"/>
    <w:rsid w:val="00673139"/>
    <w:rsid w:val="006732C1"/>
    <w:rsid w:val="00674EF1"/>
    <w:rsid w:val="00675C2E"/>
    <w:rsid w:val="00676CA1"/>
    <w:rsid w:val="00676CFA"/>
    <w:rsid w:val="00677BBB"/>
    <w:rsid w:val="00677D3C"/>
    <w:rsid w:val="006808D0"/>
    <w:rsid w:val="006809A7"/>
    <w:rsid w:val="00680B24"/>
    <w:rsid w:val="00681DD0"/>
    <w:rsid w:val="006822F4"/>
    <w:rsid w:val="00686CBE"/>
    <w:rsid w:val="006879FA"/>
    <w:rsid w:val="006912FB"/>
    <w:rsid w:val="00691C73"/>
    <w:rsid w:val="00692024"/>
    <w:rsid w:val="00693634"/>
    <w:rsid w:val="0069503A"/>
    <w:rsid w:val="0069544D"/>
    <w:rsid w:val="00696111"/>
    <w:rsid w:val="00697646"/>
    <w:rsid w:val="00697877"/>
    <w:rsid w:val="006A044B"/>
    <w:rsid w:val="006A049D"/>
    <w:rsid w:val="006A20BC"/>
    <w:rsid w:val="006A276D"/>
    <w:rsid w:val="006A2DDD"/>
    <w:rsid w:val="006A4959"/>
    <w:rsid w:val="006A498C"/>
    <w:rsid w:val="006A567B"/>
    <w:rsid w:val="006A656C"/>
    <w:rsid w:val="006A6F4C"/>
    <w:rsid w:val="006A758A"/>
    <w:rsid w:val="006B0058"/>
    <w:rsid w:val="006B05EF"/>
    <w:rsid w:val="006B078E"/>
    <w:rsid w:val="006B0AE6"/>
    <w:rsid w:val="006B0AEA"/>
    <w:rsid w:val="006B1239"/>
    <w:rsid w:val="006B3D12"/>
    <w:rsid w:val="006B3FB9"/>
    <w:rsid w:val="006B54E8"/>
    <w:rsid w:val="006B5BC4"/>
    <w:rsid w:val="006B63F8"/>
    <w:rsid w:val="006B6C37"/>
    <w:rsid w:val="006B6CA7"/>
    <w:rsid w:val="006B7E1E"/>
    <w:rsid w:val="006C0C6F"/>
    <w:rsid w:val="006C120E"/>
    <w:rsid w:val="006C2468"/>
    <w:rsid w:val="006C3278"/>
    <w:rsid w:val="006C6342"/>
    <w:rsid w:val="006C6392"/>
    <w:rsid w:val="006C7F25"/>
    <w:rsid w:val="006D099A"/>
    <w:rsid w:val="006D0D97"/>
    <w:rsid w:val="006D17E8"/>
    <w:rsid w:val="006D275E"/>
    <w:rsid w:val="006D41F0"/>
    <w:rsid w:val="006D4364"/>
    <w:rsid w:val="006D43DB"/>
    <w:rsid w:val="006D47BB"/>
    <w:rsid w:val="006D4F31"/>
    <w:rsid w:val="006D5364"/>
    <w:rsid w:val="006D7821"/>
    <w:rsid w:val="006D7FF6"/>
    <w:rsid w:val="006E1D71"/>
    <w:rsid w:val="006E275C"/>
    <w:rsid w:val="006E3CC1"/>
    <w:rsid w:val="006E56AE"/>
    <w:rsid w:val="006E6437"/>
    <w:rsid w:val="006E68B3"/>
    <w:rsid w:val="006F113F"/>
    <w:rsid w:val="006F1283"/>
    <w:rsid w:val="006F156A"/>
    <w:rsid w:val="006F2097"/>
    <w:rsid w:val="006F3E55"/>
    <w:rsid w:val="006F4DDF"/>
    <w:rsid w:val="006F4ED4"/>
    <w:rsid w:val="006F5214"/>
    <w:rsid w:val="006F561C"/>
    <w:rsid w:val="006F6047"/>
    <w:rsid w:val="0070005A"/>
    <w:rsid w:val="007008E2"/>
    <w:rsid w:val="00701BC3"/>
    <w:rsid w:val="00703398"/>
    <w:rsid w:val="00704F3E"/>
    <w:rsid w:val="007052B1"/>
    <w:rsid w:val="007063D2"/>
    <w:rsid w:val="00706F0E"/>
    <w:rsid w:val="00706F90"/>
    <w:rsid w:val="007079BC"/>
    <w:rsid w:val="00710215"/>
    <w:rsid w:val="00710502"/>
    <w:rsid w:val="00710D48"/>
    <w:rsid w:val="007118C9"/>
    <w:rsid w:val="007124F9"/>
    <w:rsid w:val="00713251"/>
    <w:rsid w:val="00713DA1"/>
    <w:rsid w:val="00713F07"/>
    <w:rsid w:val="007168D6"/>
    <w:rsid w:val="00716B0B"/>
    <w:rsid w:val="00716C7A"/>
    <w:rsid w:val="00717CBE"/>
    <w:rsid w:val="00720169"/>
    <w:rsid w:val="0072099B"/>
    <w:rsid w:val="0072114E"/>
    <w:rsid w:val="00721294"/>
    <w:rsid w:val="0072261E"/>
    <w:rsid w:val="007232B8"/>
    <w:rsid w:val="00724FCA"/>
    <w:rsid w:val="00725D37"/>
    <w:rsid w:val="00725EDB"/>
    <w:rsid w:val="00726480"/>
    <w:rsid w:val="007264CA"/>
    <w:rsid w:val="00726BB1"/>
    <w:rsid w:val="00727A64"/>
    <w:rsid w:val="00727B14"/>
    <w:rsid w:val="0073045C"/>
    <w:rsid w:val="00730E2C"/>
    <w:rsid w:val="007317C0"/>
    <w:rsid w:val="00732512"/>
    <w:rsid w:val="00732E69"/>
    <w:rsid w:val="00733136"/>
    <w:rsid w:val="007332D6"/>
    <w:rsid w:val="00733B1D"/>
    <w:rsid w:val="007349ED"/>
    <w:rsid w:val="00735751"/>
    <w:rsid w:val="0073632E"/>
    <w:rsid w:val="0073667A"/>
    <w:rsid w:val="0073668E"/>
    <w:rsid w:val="007408F9"/>
    <w:rsid w:val="0074181E"/>
    <w:rsid w:val="007427CC"/>
    <w:rsid w:val="00743872"/>
    <w:rsid w:val="00743B23"/>
    <w:rsid w:val="00744947"/>
    <w:rsid w:val="00744E4C"/>
    <w:rsid w:val="00745FDD"/>
    <w:rsid w:val="00746E90"/>
    <w:rsid w:val="007500C7"/>
    <w:rsid w:val="007514BF"/>
    <w:rsid w:val="007527F5"/>
    <w:rsid w:val="007566D5"/>
    <w:rsid w:val="007569EF"/>
    <w:rsid w:val="00757108"/>
    <w:rsid w:val="0076106A"/>
    <w:rsid w:val="00761073"/>
    <w:rsid w:val="007627A2"/>
    <w:rsid w:val="00763D6D"/>
    <w:rsid w:val="00765850"/>
    <w:rsid w:val="00765ACF"/>
    <w:rsid w:val="007660A4"/>
    <w:rsid w:val="007667EA"/>
    <w:rsid w:val="00767390"/>
    <w:rsid w:val="00773AE6"/>
    <w:rsid w:val="007747CD"/>
    <w:rsid w:val="00775074"/>
    <w:rsid w:val="007751B1"/>
    <w:rsid w:val="00775ACF"/>
    <w:rsid w:val="0077651C"/>
    <w:rsid w:val="00776C2B"/>
    <w:rsid w:val="00776D44"/>
    <w:rsid w:val="00777431"/>
    <w:rsid w:val="0077768A"/>
    <w:rsid w:val="00781FFA"/>
    <w:rsid w:val="00782384"/>
    <w:rsid w:val="00782E29"/>
    <w:rsid w:val="0078301D"/>
    <w:rsid w:val="00783B32"/>
    <w:rsid w:val="00785950"/>
    <w:rsid w:val="00786769"/>
    <w:rsid w:val="00786CFE"/>
    <w:rsid w:val="007871A2"/>
    <w:rsid w:val="007871B2"/>
    <w:rsid w:val="007871D3"/>
    <w:rsid w:val="00787C9A"/>
    <w:rsid w:val="00787EEA"/>
    <w:rsid w:val="0079063B"/>
    <w:rsid w:val="00790A0D"/>
    <w:rsid w:val="00790DC5"/>
    <w:rsid w:val="00792005"/>
    <w:rsid w:val="00792F47"/>
    <w:rsid w:val="00793FED"/>
    <w:rsid w:val="00794394"/>
    <w:rsid w:val="00794653"/>
    <w:rsid w:val="00794E16"/>
    <w:rsid w:val="00795428"/>
    <w:rsid w:val="0079577A"/>
    <w:rsid w:val="00795B5A"/>
    <w:rsid w:val="007967FA"/>
    <w:rsid w:val="00796DF5"/>
    <w:rsid w:val="007A02C0"/>
    <w:rsid w:val="007A1798"/>
    <w:rsid w:val="007A40C6"/>
    <w:rsid w:val="007A48C9"/>
    <w:rsid w:val="007A4E1D"/>
    <w:rsid w:val="007A50E0"/>
    <w:rsid w:val="007A602E"/>
    <w:rsid w:val="007A6291"/>
    <w:rsid w:val="007A6955"/>
    <w:rsid w:val="007A6994"/>
    <w:rsid w:val="007A6D42"/>
    <w:rsid w:val="007B0ADB"/>
    <w:rsid w:val="007B1887"/>
    <w:rsid w:val="007B1AA0"/>
    <w:rsid w:val="007B4455"/>
    <w:rsid w:val="007B5439"/>
    <w:rsid w:val="007B5B77"/>
    <w:rsid w:val="007B5C02"/>
    <w:rsid w:val="007B6B62"/>
    <w:rsid w:val="007B6C23"/>
    <w:rsid w:val="007B790D"/>
    <w:rsid w:val="007B7DE2"/>
    <w:rsid w:val="007C009B"/>
    <w:rsid w:val="007C102A"/>
    <w:rsid w:val="007C174C"/>
    <w:rsid w:val="007C1A0D"/>
    <w:rsid w:val="007C28CB"/>
    <w:rsid w:val="007C329F"/>
    <w:rsid w:val="007C3E12"/>
    <w:rsid w:val="007C4A99"/>
    <w:rsid w:val="007C593E"/>
    <w:rsid w:val="007C5FAD"/>
    <w:rsid w:val="007C5FD4"/>
    <w:rsid w:val="007C648C"/>
    <w:rsid w:val="007D0572"/>
    <w:rsid w:val="007D1585"/>
    <w:rsid w:val="007D27C7"/>
    <w:rsid w:val="007D4438"/>
    <w:rsid w:val="007D4B93"/>
    <w:rsid w:val="007D4D87"/>
    <w:rsid w:val="007D54FF"/>
    <w:rsid w:val="007D58D2"/>
    <w:rsid w:val="007D5C3B"/>
    <w:rsid w:val="007E0121"/>
    <w:rsid w:val="007E0331"/>
    <w:rsid w:val="007E2573"/>
    <w:rsid w:val="007E4D12"/>
    <w:rsid w:val="007E5420"/>
    <w:rsid w:val="007E5D85"/>
    <w:rsid w:val="007F01A4"/>
    <w:rsid w:val="007F0284"/>
    <w:rsid w:val="007F100A"/>
    <w:rsid w:val="007F1056"/>
    <w:rsid w:val="007F1202"/>
    <w:rsid w:val="007F1C2E"/>
    <w:rsid w:val="007F2443"/>
    <w:rsid w:val="007F27B6"/>
    <w:rsid w:val="007F312B"/>
    <w:rsid w:val="007F4014"/>
    <w:rsid w:val="007F6248"/>
    <w:rsid w:val="007F649A"/>
    <w:rsid w:val="007F6F4F"/>
    <w:rsid w:val="007F7542"/>
    <w:rsid w:val="007F7762"/>
    <w:rsid w:val="00800E26"/>
    <w:rsid w:val="00800EE5"/>
    <w:rsid w:val="00801ECE"/>
    <w:rsid w:val="00802705"/>
    <w:rsid w:val="00804613"/>
    <w:rsid w:val="00804BBF"/>
    <w:rsid w:val="00806191"/>
    <w:rsid w:val="0080634E"/>
    <w:rsid w:val="00806A65"/>
    <w:rsid w:val="008073D2"/>
    <w:rsid w:val="00810C97"/>
    <w:rsid w:val="00810F5A"/>
    <w:rsid w:val="00812030"/>
    <w:rsid w:val="00812A58"/>
    <w:rsid w:val="00813BE9"/>
    <w:rsid w:val="008142E9"/>
    <w:rsid w:val="00814A92"/>
    <w:rsid w:val="00814D41"/>
    <w:rsid w:val="008161F9"/>
    <w:rsid w:val="00816BA6"/>
    <w:rsid w:val="008178A0"/>
    <w:rsid w:val="00817E35"/>
    <w:rsid w:val="00820982"/>
    <w:rsid w:val="00821D9D"/>
    <w:rsid w:val="00821F6E"/>
    <w:rsid w:val="00822183"/>
    <w:rsid w:val="00822542"/>
    <w:rsid w:val="00823519"/>
    <w:rsid w:val="008235D3"/>
    <w:rsid w:val="00823679"/>
    <w:rsid w:val="00823DD4"/>
    <w:rsid w:val="00824247"/>
    <w:rsid w:val="00824A81"/>
    <w:rsid w:val="00824C81"/>
    <w:rsid w:val="008259F2"/>
    <w:rsid w:val="00825C00"/>
    <w:rsid w:val="008266FD"/>
    <w:rsid w:val="00827C8B"/>
    <w:rsid w:val="00827E17"/>
    <w:rsid w:val="00830EEF"/>
    <w:rsid w:val="00831BB6"/>
    <w:rsid w:val="00831CB6"/>
    <w:rsid w:val="00832009"/>
    <w:rsid w:val="008321C0"/>
    <w:rsid w:val="0083274F"/>
    <w:rsid w:val="00832CAF"/>
    <w:rsid w:val="0083398A"/>
    <w:rsid w:val="00833EB7"/>
    <w:rsid w:val="008341D1"/>
    <w:rsid w:val="00834DC0"/>
    <w:rsid w:val="00835148"/>
    <w:rsid w:val="0083637E"/>
    <w:rsid w:val="0084191D"/>
    <w:rsid w:val="00841926"/>
    <w:rsid w:val="00841B8D"/>
    <w:rsid w:val="00842AC1"/>
    <w:rsid w:val="00842EC0"/>
    <w:rsid w:val="0084329D"/>
    <w:rsid w:val="00843D38"/>
    <w:rsid w:val="00844601"/>
    <w:rsid w:val="00844EE7"/>
    <w:rsid w:val="00846236"/>
    <w:rsid w:val="0084650F"/>
    <w:rsid w:val="0084651F"/>
    <w:rsid w:val="00850063"/>
    <w:rsid w:val="00850488"/>
    <w:rsid w:val="008523E4"/>
    <w:rsid w:val="008524F7"/>
    <w:rsid w:val="0085424D"/>
    <w:rsid w:val="00855A5E"/>
    <w:rsid w:val="00856D1C"/>
    <w:rsid w:val="0085765E"/>
    <w:rsid w:val="00861F03"/>
    <w:rsid w:val="00863552"/>
    <w:rsid w:val="00865265"/>
    <w:rsid w:val="00865717"/>
    <w:rsid w:val="00865C86"/>
    <w:rsid w:val="008665D3"/>
    <w:rsid w:val="00867285"/>
    <w:rsid w:val="00871880"/>
    <w:rsid w:val="00872385"/>
    <w:rsid w:val="008740BF"/>
    <w:rsid w:val="008740E5"/>
    <w:rsid w:val="00875522"/>
    <w:rsid w:val="00875720"/>
    <w:rsid w:val="008759A5"/>
    <w:rsid w:val="00875C2D"/>
    <w:rsid w:val="00876945"/>
    <w:rsid w:val="00877109"/>
    <w:rsid w:val="00877671"/>
    <w:rsid w:val="00877986"/>
    <w:rsid w:val="0088058E"/>
    <w:rsid w:val="00880871"/>
    <w:rsid w:val="008818C6"/>
    <w:rsid w:val="00881ACB"/>
    <w:rsid w:val="00882853"/>
    <w:rsid w:val="00883709"/>
    <w:rsid w:val="00883D83"/>
    <w:rsid w:val="008843ED"/>
    <w:rsid w:val="00885C8C"/>
    <w:rsid w:val="00890535"/>
    <w:rsid w:val="00891206"/>
    <w:rsid w:val="00891266"/>
    <w:rsid w:val="00891DF3"/>
    <w:rsid w:val="0089354D"/>
    <w:rsid w:val="00894590"/>
    <w:rsid w:val="0089551A"/>
    <w:rsid w:val="00895B78"/>
    <w:rsid w:val="00895FF7"/>
    <w:rsid w:val="008961FE"/>
    <w:rsid w:val="008A1942"/>
    <w:rsid w:val="008A27C9"/>
    <w:rsid w:val="008A2F3C"/>
    <w:rsid w:val="008A5901"/>
    <w:rsid w:val="008A5B7E"/>
    <w:rsid w:val="008A5CAF"/>
    <w:rsid w:val="008A5EA9"/>
    <w:rsid w:val="008A6631"/>
    <w:rsid w:val="008A68AC"/>
    <w:rsid w:val="008A6945"/>
    <w:rsid w:val="008A73A9"/>
    <w:rsid w:val="008A7BB3"/>
    <w:rsid w:val="008B0BA5"/>
    <w:rsid w:val="008B0F2C"/>
    <w:rsid w:val="008B210A"/>
    <w:rsid w:val="008B301A"/>
    <w:rsid w:val="008B31BC"/>
    <w:rsid w:val="008B322B"/>
    <w:rsid w:val="008B3DC4"/>
    <w:rsid w:val="008B4D5D"/>
    <w:rsid w:val="008C11A1"/>
    <w:rsid w:val="008C1438"/>
    <w:rsid w:val="008C191B"/>
    <w:rsid w:val="008C19E2"/>
    <w:rsid w:val="008C32B4"/>
    <w:rsid w:val="008C3E42"/>
    <w:rsid w:val="008C4AB8"/>
    <w:rsid w:val="008C5BCC"/>
    <w:rsid w:val="008C7BAB"/>
    <w:rsid w:val="008D1094"/>
    <w:rsid w:val="008D3252"/>
    <w:rsid w:val="008D3A7C"/>
    <w:rsid w:val="008D4DA7"/>
    <w:rsid w:val="008D5B90"/>
    <w:rsid w:val="008D6359"/>
    <w:rsid w:val="008D66EA"/>
    <w:rsid w:val="008D7C18"/>
    <w:rsid w:val="008D7D45"/>
    <w:rsid w:val="008E150E"/>
    <w:rsid w:val="008E2893"/>
    <w:rsid w:val="008E3104"/>
    <w:rsid w:val="008E3795"/>
    <w:rsid w:val="008E52F6"/>
    <w:rsid w:val="008E585D"/>
    <w:rsid w:val="008E5AB8"/>
    <w:rsid w:val="008E5E5A"/>
    <w:rsid w:val="008E63B8"/>
    <w:rsid w:val="008E7E76"/>
    <w:rsid w:val="008F0742"/>
    <w:rsid w:val="008F0904"/>
    <w:rsid w:val="008F162D"/>
    <w:rsid w:val="008F16B6"/>
    <w:rsid w:val="008F2922"/>
    <w:rsid w:val="008F3124"/>
    <w:rsid w:val="008F3C87"/>
    <w:rsid w:val="008F3CA2"/>
    <w:rsid w:val="008F43CC"/>
    <w:rsid w:val="008F4CEF"/>
    <w:rsid w:val="008F60C6"/>
    <w:rsid w:val="008F702F"/>
    <w:rsid w:val="00900CBE"/>
    <w:rsid w:val="009018D2"/>
    <w:rsid w:val="00901BFA"/>
    <w:rsid w:val="00902391"/>
    <w:rsid w:val="0090263A"/>
    <w:rsid w:val="00902F55"/>
    <w:rsid w:val="00903B5D"/>
    <w:rsid w:val="00904360"/>
    <w:rsid w:val="00904B5C"/>
    <w:rsid w:val="00905083"/>
    <w:rsid w:val="00906482"/>
    <w:rsid w:val="00910390"/>
    <w:rsid w:val="00910838"/>
    <w:rsid w:val="009111B9"/>
    <w:rsid w:val="00912956"/>
    <w:rsid w:val="00913A90"/>
    <w:rsid w:val="00913FEC"/>
    <w:rsid w:val="009153F6"/>
    <w:rsid w:val="00915B24"/>
    <w:rsid w:val="00915C6F"/>
    <w:rsid w:val="00917EFD"/>
    <w:rsid w:val="009211B7"/>
    <w:rsid w:val="0092134D"/>
    <w:rsid w:val="00923111"/>
    <w:rsid w:val="00923E20"/>
    <w:rsid w:val="009246B4"/>
    <w:rsid w:val="009246C8"/>
    <w:rsid w:val="009264D5"/>
    <w:rsid w:val="00926523"/>
    <w:rsid w:val="00926BDD"/>
    <w:rsid w:val="00927738"/>
    <w:rsid w:val="00930DA4"/>
    <w:rsid w:val="00930DB3"/>
    <w:rsid w:val="00931A89"/>
    <w:rsid w:val="00932F66"/>
    <w:rsid w:val="00933109"/>
    <w:rsid w:val="009335C9"/>
    <w:rsid w:val="00934BC2"/>
    <w:rsid w:val="009352F9"/>
    <w:rsid w:val="00936CAE"/>
    <w:rsid w:val="00936FB6"/>
    <w:rsid w:val="0094002F"/>
    <w:rsid w:val="0094047C"/>
    <w:rsid w:val="009411C1"/>
    <w:rsid w:val="00942BEF"/>
    <w:rsid w:val="0094462B"/>
    <w:rsid w:val="0094567E"/>
    <w:rsid w:val="00945D76"/>
    <w:rsid w:val="00946E86"/>
    <w:rsid w:val="0094763B"/>
    <w:rsid w:val="00951D6B"/>
    <w:rsid w:val="009527BB"/>
    <w:rsid w:val="00953308"/>
    <w:rsid w:val="00953899"/>
    <w:rsid w:val="00954389"/>
    <w:rsid w:val="00954596"/>
    <w:rsid w:val="00954647"/>
    <w:rsid w:val="00954BE1"/>
    <w:rsid w:val="00956FA4"/>
    <w:rsid w:val="00957899"/>
    <w:rsid w:val="009600D4"/>
    <w:rsid w:val="00962434"/>
    <w:rsid w:val="009628D8"/>
    <w:rsid w:val="00963730"/>
    <w:rsid w:val="00964271"/>
    <w:rsid w:val="00964914"/>
    <w:rsid w:val="00965802"/>
    <w:rsid w:val="009671CC"/>
    <w:rsid w:val="00967462"/>
    <w:rsid w:val="00967684"/>
    <w:rsid w:val="00967BBB"/>
    <w:rsid w:val="00967E2E"/>
    <w:rsid w:val="00970C1F"/>
    <w:rsid w:val="00971025"/>
    <w:rsid w:val="0097210E"/>
    <w:rsid w:val="009723CC"/>
    <w:rsid w:val="009725B8"/>
    <w:rsid w:val="00972920"/>
    <w:rsid w:val="0097372C"/>
    <w:rsid w:val="0097415F"/>
    <w:rsid w:val="00974497"/>
    <w:rsid w:val="009750AA"/>
    <w:rsid w:val="0097585B"/>
    <w:rsid w:val="0097635C"/>
    <w:rsid w:val="00976749"/>
    <w:rsid w:val="0097682A"/>
    <w:rsid w:val="00976F36"/>
    <w:rsid w:val="009771CD"/>
    <w:rsid w:val="00982058"/>
    <w:rsid w:val="009825B8"/>
    <w:rsid w:val="00982B34"/>
    <w:rsid w:val="0098343A"/>
    <w:rsid w:val="009841B1"/>
    <w:rsid w:val="009857B8"/>
    <w:rsid w:val="00985EFC"/>
    <w:rsid w:val="00986CF4"/>
    <w:rsid w:val="00987182"/>
    <w:rsid w:val="009907CA"/>
    <w:rsid w:val="00990AD9"/>
    <w:rsid w:val="00991940"/>
    <w:rsid w:val="00992B62"/>
    <w:rsid w:val="00993038"/>
    <w:rsid w:val="009948D3"/>
    <w:rsid w:val="009956AB"/>
    <w:rsid w:val="00995D4C"/>
    <w:rsid w:val="00995E7D"/>
    <w:rsid w:val="00995F15"/>
    <w:rsid w:val="00996763"/>
    <w:rsid w:val="009967EF"/>
    <w:rsid w:val="00997245"/>
    <w:rsid w:val="00997E23"/>
    <w:rsid w:val="009A0ED6"/>
    <w:rsid w:val="009A3818"/>
    <w:rsid w:val="009A45BC"/>
    <w:rsid w:val="009A487A"/>
    <w:rsid w:val="009A50D7"/>
    <w:rsid w:val="009A576A"/>
    <w:rsid w:val="009A77D1"/>
    <w:rsid w:val="009A77E6"/>
    <w:rsid w:val="009A7951"/>
    <w:rsid w:val="009A7B03"/>
    <w:rsid w:val="009B0CC3"/>
    <w:rsid w:val="009B1B8A"/>
    <w:rsid w:val="009B1BBE"/>
    <w:rsid w:val="009B2533"/>
    <w:rsid w:val="009B2CBE"/>
    <w:rsid w:val="009B32B9"/>
    <w:rsid w:val="009B3826"/>
    <w:rsid w:val="009B46C3"/>
    <w:rsid w:val="009B5A52"/>
    <w:rsid w:val="009B6A70"/>
    <w:rsid w:val="009B74EE"/>
    <w:rsid w:val="009C177C"/>
    <w:rsid w:val="009C24E2"/>
    <w:rsid w:val="009C2583"/>
    <w:rsid w:val="009C2A3D"/>
    <w:rsid w:val="009C2B9D"/>
    <w:rsid w:val="009C43F8"/>
    <w:rsid w:val="009C59F6"/>
    <w:rsid w:val="009C5E7A"/>
    <w:rsid w:val="009C5F42"/>
    <w:rsid w:val="009C6384"/>
    <w:rsid w:val="009D0DB2"/>
    <w:rsid w:val="009D1932"/>
    <w:rsid w:val="009D1C27"/>
    <w:rsid w:val="009D1FBB"/>
    <w:rsid w:val="009D250F"/>
    <w:rsid w:val="009D3903"/>
    <w:rsid w:val="009D399C"/>
    <w:rsid w:val="009D47BC"/>
    <w:rsid w:val="009D5E6A"/>
    <w:rsid w:val="009D5F85"/>
    <w:rsid w:val="009D6182"/>
    <w:rsid w:val="009D63E4"/>
    <w:rsid w:val="009D7C8D"/>
    <w:rsid w:val="009E426C"/>
    <w:rsid w:val="009E52E4"/>
    <w:rsid w:val="009E5DCD"/>
    <w:rsid w:val="009F2045"/>
    <w:rsid w:val="009F2CA9"/>
    <w:rsid w:val="009F2DF3"/>
    <w:rsid w:val="009F34B9"/>
    <w:rsid w:val="009F38A8"/>
    <w:rsid w:val="009F52AF"/>
    <w:rsid w:val="009F58EF"/>
    <w:rsid w:val="009F5BE5"/>
    <w:rsid w:val="009F7710"/>
    <w:rsid w:val="009F79FC"/>
    <w:rsid w:val="00A003D8"/>
    <w:rsid w:val="00A00803"/>
    <w:rsid w:val="00A01F23"/>
    <w:rsid w:val="00A036A1"/>
    <w:rsid w:val="00A0376F"/>
    <w:rsid w:val="00A04B32"/>
    <w:rsid w:val="00A04EF7"/>
    <w:rsid w:val="00A07077"/>
    <w:rsid w:val="00A111FE"/>
    <w:rsid w:val="00A12C96"/>
    <w:rsid w:val="00A131EE"/>
    <w:rsid w:val="00A13481"/>
    <w:rsid w:val="00A1441C"/>
    <w:rsid w:val="00A14648"/>
    <w:rsid w:val="00A146BE"/>
    <w:rsid w:val="00A17312"/>
    <w:rsid w:val="00A17B27"/>
    <w:rsid w:val="00A20F5D"/>
    <w:rsid w:val="00A224F4"/>
    <w:rsid w:val="00A228C6"/>
    <w:rsid w:val="00A229E2"/>
    <w:rsid w:val="00A22FD5"/>
    <w:rsid w:val="00A26381"/>
    <w:rsid w:val="00A264CB"/>
    <w:rsid w:val="00A271EF"/>
    <w:rsid w:val="00A31455"/>
    <w:rsid w:val="00A31B5A"/>
    <w:rsid w:val="00A32523"/>
    <w:rsid w:val="00A32E74"/>
    <w:rsid w:val="00A3406E"/>
    <w:rsid w:val="00A343C2"/>
    <w:rsid w:val="00A34481"/>
    <w:rsid w:val="00A351CA"/>
    <w:rsid w:val="00A3535E"/>
    <w:rsid w:val="00A354AA"/>
    <w:rsid w:val="00A3756E"/>
    <w:rsid w:val="00A40281"/>
    <w:rsid w:val="00A4049F"/>
    <w:rsid w:val="00A404ED"/>
    <w:rsid w:val="00A436AA"/>
    <w:rsid w:val="00A43A6E"/>
    <w:rsid w:val="00A44109"/>
    <w:rsid w:val="00A44581"/>
    <w:rsid w:val="00A455A1"/>
    <w:rsid w:val="00A4561D"/>
    <w:rsid w:val="00A45930"/>
    <w:rsid w:val="00A45F86"/>
    <w:rsid w:val="00A468DA"/>
    <w:rsid w:val="00A47610"/>
    <w:rsid w:val="00A5005D"/>
    <w:rsid w:val="00A516A4"/>
    <w:rsid w:val="00A51D69"/>
    <w:rsid w:val="00A52B29"/>
    <w:rsid w:val="00A54093"/>
    <w:rsid w:val="00A54357"/>
    <w:rsid w:val="00A552E8"/>
    <w:rsid w:val="00A556E1"/>
    <w:rsid w:val="00A62604"/>
    <w:rsid w:val="00A629FF"/>
    <w:rsid w:val="00A64712"/>
    <w:rsid w:val="00A6512B"/>
    <w:rsid w:val="00A6563B"/>
    <w:rsid w:val="00A67264"/>
    <w:rsid w:val="00A67DA0"/>
    <w:rsid w:val="00A70137"/>
    <w:rsid w:val="00A7018F"/>
    <w:rsid w:val="00A705ED"/>
    <w:rsid w:val="00A7060A"/>
    <w:rsid w:val="00A70BCE"/>
    <w:rsid w:val="00A70C1C"/>
    <w:rsid w:val="00A71B9E"/>
    <w:rsid w:val="00A73DA9"/>
    <w:rsid w:val="00A747E1"/>
    <w:rsid w:val="00A750C1"/>
    <w:rsid w:val="00A7539A"/>
    <w:rsid w:val="00A75E50"/>
    <w:rsid w:val="00A76500"/>
    <w:rsid w:val="00A76C7B"/>
    <w:rsid w:val="00A77DBA"/>
    <w:rsid w:val="00A80906"/>
    <w:rsid w:val="00A81B98"/>
    <w:rsid w:val="00A826EF"/>
    <w:rsid w:val="00A848F3"/>
    <w:rsid w:val="00A84F11"/>
    <w:rsid w:val="00A84FD4"/>
    <w:rsid w:val="00A86B3D"/>
    <w:rsid w:val="00A90509"/>
    <w:rsid w:val="00A90CF5"/>
    <w:rsid w:val="00A9118F"/>
    <w:rsid w:val="00A94494"/>
    <w:rsid w:val="00A96293"/>
    <w:rsid w:val="00A9649E"/>
    <w:rsid w:val="00A96E2D"/>
    <w:rsid w:val="00A96F66"/>
    <w:rsid w:val="00A9734B"/>
    <w:rsid w:val="00A97528"/>
    <w:rsid w:val="00A97585"/>
    <w:rsid w:val="00A97832"/>
    <w:rsid w:val="00A97B13"/>
    <w:rsid w:val="00A97FD1"/>
    <w:rsid w:val="00A97FF2"/>
    <w:rsid w:val="00AA06D0"/>
    <w:rsid w:val="00AA22D6"/>
    <w:rsid w:val="00AA26BD"/>
    <w:rsid w:val="00AA2834"/>
    <w:rsid w:val="00AA3664"/>
    <w:rsid w:val="00AA6809"/>
    <w:rsid w:val="00AA7042"/>
    <w:rsid w:val="00AA7CBC"/>
    <w:rsid w:val="00AB0448"/>
    <w:rsid w:val="00AB2B00"/>
    <w:rsid w:val="00AB3513"/>
    <w:rsid w:val="00AB44CB"/>
    <w:rsid w:val="00AB4C73"/>
    <w:rsid w:val="00AB51BE"/>
    <w:rsid w:val="00AB54AB"/>
    <w:rsid w:val="00AB57F4"/>
    <w:rsid w:val="00AC073F"/>
    <w:rsid w:val="00AC11D8"/>
    <w:rsid w:val="00AC2034"/>
    <w:rsid w:val="00AC36E6"/>
    <w:rsid w:val="00AC475E"/>
    <w:rsid w:val="00AC4B25"/>
    <w:rsid w:val="00AC5EB0"/>
    <w:rsid w:val="00AC6816"/>
    <w:rsid w:val="00AC6B22"/>
    <w:rsid w:val="00AC6B96"/>
    <w:rsid w:val="00AC7575"/>
    <w:rsid w:val="00AD0419"/>
    <w:rsid w:val="00AD17F4"/>
    <w:rsid w:val="00AD1925"/>
    <w:rsid w:val="00AD3022"/>
    <w:rsid w:val="00AD3480"/>
    <w:rsid w:val="00AD3710"/>
    <w:rsid w:val="00AD4DAB"/>
    <w:rsid w:val="00AD50FB"/>
    <w:rsid w:val="00AD6FEB"/>
    <w:rsid w:val="00AE0778"/>
    <w:rsid w:val="00AE15DA"/>
    <w:rsid w:val="00AE31AC"/>
    <w:rsid w:val="00AE3280"/>
    <w:rsid w:val="00AE3A1F"/>
    <w:rsid w:val="00AE3B21"/>
    <w:rsid w:val="00AE5431"/>
    <w:rsid w:val="00AE5828"/>
    <w:rsid w:val="00AE5B50"/>
    <w:rsid w:val="00AE5F81"/>
    <w:rsid w:val="00AE7826"/>
    <w:rsid w:val="00AE794E"/>
    <w:rsid w:val="00AF07BA"/>
    <w:rsid w:val="00AF3AAD"/>
    <w:rsid w:val="00AF3AC8"/>
    <w:rsid w:val="00AF4023"/>
    <w:rsid w:val="00AF59D3"/>
    <w:rsid w:val="00AF6B1B"/>
    <w:rsid w:val="00AF7891"/>
    <w:rsid w:val="00B003D0"/>
    <w:rsid w:val="00B0089A"/>
    <w:rsid w:val="00B02ECF"/>
    <w:rsid w:val="00B0536A"/>
    <w:rsid w:val="00B05661"/>
    <w:rsid w:val="00B059EC"/>
    <w:rsid w:val="00B05C62"/>
    <w:rsid w:val="00B06572"/>
    <w:rsid w:val="00B0728D"/>
    <w:rsid w:val="00B073C6"/>
    <w:rsid w:val="00B078BE"/>
    <w:rsid w:val="00B079C6"/>
    <w:rsid w:val="00B07C32"/>
    <w:rsid w:val="00B07EDD"/>
    <w:rsid w:val="00B101F3"/>
    <w:rsid w:val="00B11A48"/>
    <w:rsid w:val="00B12AA0"/>
    <w:rsid w:val="00B138EF"/>
    <w:rsid w:val="00B14980"/>
    <w:rsid w:val="00B15B82"/>
    <w:rsid w:val="00B1630F"/>
    <w:rsid w:val="00B20385"/>
    <w:rsid w:val="00B20633"/>
    <w:rsid w:val="00B2080E"/>
    <w:rsid w:val="00B225DE"/>
    <w:rsid w:val="00B22A41"/>
    <w:rsid w:val="00B22E96"/>
    <w:rsid w:val="00B234F6"/>
    <w:rsid w:val="00B24E80"/>
    <w:rsid w:val="00B255B1"/>
    <w:rsid w:val="00B2591E"/>
    <w:rsid w:val="00B2653E"/>
    <w:rsid w:val="00B27B6A"/>
    <w:rsid w:val="00B27F92"/>
    <w:rsid w:val="00B32260"/>
    <w:rsid w:val="00B3274D"/>
    <w:rsid w:val="00B32B30"/>
    <w:rsid w:val="00B32C97"/>
    <w:rsid w:val="00B33DD9"/>
    <w:rsid w:val="00B34C0B"/>
    <w:rsid w:val="00B35743"/>
    <w:rsid w:val="00B35D50"/>
    <w:rsid w:val="00B3658D"/>
    <w:rsid w:val="00B36C8E"/>
    <w:rsid w:val="00B37FAC"/>
    <w:rsid w:val="00B415BF"/>
    <w:rsid w:val="00B41826"/>
    <w:rsid w:val="00B42A1C"/>
    <w:rsid w:val="00B4313A"/>
    <w:rsid w:val="00B43610"/>
    <w:rsid w:val="00B446B2"/>
    <w:rsid w:val="00B449BA"/>
    <w:rsid w:val="00B45CF8"/>
    <w:rsid w:val="00B46354"/>
    <w:rsid w:val="00B46424"/>
    <w:rsid w:val="00B4740A"/>
    <w:rsid w:val="00B47544"/>
    <w:rsid w:val="00B4767E"/>
    <w:rsid w:val="00B47C21"/>
    <w:rsid w:val="00B507D6"/>
    <w:rsid w:val="00B50921"/>
    <w:rsid w:val="00B51EB7"/>
    <w:rsid w:val="00B53F0D"/>
    <w:rsid w:val="00B54A72"/>
    <w:rsid w:val="00B571D0"/>
    <w:rsid w:val="00B6011E"/>
    <w:rsid w:val="00B616E9"/>
    <w:rsid w:val="00B63CC0"/>
    <w:rsid w:val="00B641B5"/>
    <w:rsid w:val="00B64379"/>
    <w:rsid w:val="00B64D4D"/>
    <w:rsid w:val="00B66E90"/>
    <w:rsid w:val="00B707D7"/>
    <w:rsid w:val="00B72B7A"/>
    <w:rsid w:val="00B75A0B"/>
    <w:rsid w:val="00B8020A"/>
    <w:rsid w:val="00B821F7"/>
    <w:rsid w:val="00B82E08"/>
    <w:rsid w:val="00B839F1"/>
    <w:rsid w:val="00B83F14"/>
    <w:rsid w:val="00B842B3"/>
    <w:rsid w:val="00B850D6"/>
    <w:rsid w:val="00B8568A"/>
    <w:rsid w:val="00B85CB4"/>
    <w:rsid w:val="00B86570"/>
    <w:rsid w:val="00B866C3"/>
    <w:rsid w:val="00B86FF3"/>
    <w:rsid w:val="00B8732F"/>
    <w:rsid w:val="00B9132F"/>
    <w:rsid w:val="00B91848"/>
    <w:rsid w:val="00B91F50"/>
    <w:rsid w:val="00B92719"/>
    <w:rsid w:val="00B94715"/>
    <w:rsid w:val="00B94D0E"/>
    <w:rsid w:val="00B971B5"/>
    <w:rsid w:val="00BA0B0A"/>
    <w:rsid w:val="00BA18B2"/>
    <w:rsid w:val="00BA254D"/>
    <w:rsid w:val="00BA2B34"/>
    <w:rsid w:val="00BA3438"/>
    <w:rsid w:val="00BA5B67"/>
    <w:rsid w:val="00BA669B"/>
    <w:rsid w:val="00BA7B39"/>
    <w:rsid w:val="00BB0988"/>
    <w:rsid w:val="00BB25E8"/>
    <w:rsid w:val="00BB284A"/>
    <w:rsid w:val="00BB630C"/>
    <w:rsid w:val="00BB745D"/>
    <w:rsid w:val="00BB79E7"/>
    <w:rsid w:val="00BC05FF"/>
    <w:rsid w:val="00BC2F0F"/>
    <w:rsid w:val="00BC3D4B"/>
    <w:rsid w:val="00BC46D0"/>
    <w:rsid w:val="00BC5CC6"/>
    <w:rsid w:val="00BD052B"/>
    <w:rsid w:val="00BD0DB8"/>
    <w:rsid w:val="00BD18ED"/>
    <w:rsid w:val="00BD3C38"/>
    <w:rsid w:val="00BE00C3"/>
    <w:rsid w:val="00BE1697"/>
    <w:rsid w:val="00BE44CF"/>
    <w:rsid w:val="00BE466D"/>
    <w:rsid w:val="00BE4DC8"/>
    <w:rsid w:val="00BE51D8"/>
    <w:rsid w:val="00BE6301"/>
    <w:rsid w:val="00BE7FD4"/>
    <w:rsid w:val="00BF1164"/>
    <w:rsid w:val="00BF2B45"/>
    <w:rsid w:val="00BF2E35"/>
    <w:rsid w:val="00BF47D3"/>
    <w:rsid w:val="00BF4CCC"/>
    <w:rsid w:val="00BF4F25"/>
    <w:rsid w:val="00BF5551"/>
    <w:rsid w:val="00BF6963"/>
    <w:rsid w:val="00C018C8"/>
    <w:rsid w:val="00C019C6"/>
    <w:rsid w:val="00C019D4"/>
    <w:rsid w:val="00C02223"/>
    <w:rsid w:val="00C0269E"/>
    <w:rsid w:val="00C02DD7"/>
    <w:rsid w:val="00C043EE"/>
    <w:rsid w:val="00C04400"/>
    <w:rsid w:val="00C05C69"/>
    <w:rsid w:val="00C05E15"/>
    <w:rsid w:val="00C06A3B"/>
    <w:rsid w:val="00C06B3F"/>
    <w:rsid w:val="00C06EAC"/>
    <w:rsid w:val="00C07DFD"/>
    <w:rsid w:val="00C12082"/>
    <w:rsid w:val="00C12E04"/>
    <w:rsid w:val="00C12E24"/>
    <w:rsid w:val="00C14261"/>
    <w:rsid w:val="00C14F29"/>
    <w:rsid w:val="00C153EC"/>
    <w:rsid w:val="00C16042"/>
    <w:rsid w:val="00C16095"/>
    <w:rsid w:val="00C16D0A"/>
    <w:rsid w:val="00C17C29"/>
    <w:rsid w:val="00C2129E"/>
    <w:rsid w:val="00C214BA"/>
    <w:rsid w:val="00C2243A"/>
    <w:rsid w:val="00C22669"/>
    <w:rsid w:val="00C2708B"/>
    <w:rsid w:val="00C3050D"/>
    <w:rsid w:val="00C31974"/>
    <w:rsid w:val="00C32281"/>
    <w:rsid w:val="00C326FC"/>
    <w:rsid w:val="00C33339"/>
    <w:rsid w:val="00C348D7"/>
    <w:rsid w:val="00C34919"/>
    <w:rsid w:val="00C34ABE"/>
    <w:rsid w:val="00C352D9"/>
    <w:rsid w:val="00C35AA5"/>
    <w:rsid w:val="00C374F3"/>
    <w:rsid w:val="00C40BA0"/>
    <w:rsid w:val="00C423BA"/>
    <w:rsid w:val="00C43433"/>
    <w:rsid w:val="00C43A8C"/>
    <w:rsid w:val="00C43EDD"/>
    <w:rsid w:val="00C44F08"/>
    <w:rsid w:val="00C468F8"/>
    <w:rsid w:val="00C475DC"/>
    <w:rsid w:val="00C51F73"/>
    <w:rsid w:val="00C530F0"/>
    <w:rsid w:val="00C536AF"/>
    <w:rsid w:val="00C53ADA"/>
    <w:rsid w:val="00C57081"/>
    <w:rsid w:val="00C607E2"/>
    <w:rsid w:val="00C609BE"/>
    <w:rsid w:val="00C62136"/>
    <w:rsid w:val="00C6235B"/>
    <w:rsid w:val="00C63DFD"/>
    <w:rsid w:val="00C63EBC"/>
    <w:rsid w:val="00C6422E"/>
    <w:rsid w:val="00C6631D"/>
    <w:rsid w:val="00C66D7F"/>
    <w:rsid w:val="00C6706B"/>
    <w:rsid w:val="00C67B75"/>
    <w:rsid w:val="00C70268"/>
    <w:rsid w:val="00C70A60"/>
    <w:rsid w:val="00C7243B"/>
    <w:rsid w:val="00C730B3"/>
    <w:rsid w:val="00C7313E"/>
    <w:rsid w:val="00C73157"/>
    <w:rsid w:val="00C73EFC"/>
    <w:rsid w:val="00C740C2"/>
    <w:rsid w:val="00C7495A"/>
    <w:rsid w:val="00C749CC"/>
    <w:rsid w:val="00C771DE"/>
    <w:rsid w:val="00C7749A"/>
    <w:rsid w:val="00C815FD"/>
    <w:rsid w:val="00C8506B"/>
    <w:rsid w:val="00C8575A"/>
    <w:rsid w:val="00C870B7"/>
    <w:rsid w:val="00C87411"/>
    <w:rsid w:val="00C9136F"/>
    <w:rsid w:val="00C915F8"/>
    <w:rsid w:val="00C9289F"/>
    <w:rsid w:val="00C946AE"/>
    <w:rsid w:val="00C9556D"/>
    <w:rsid w:val="00C95796"/>
    <w:rsid w:val="00C95F1C"/>
    <w:rsid w:val="00C963CC"/>
    <w:rsid w:val="00C9685E"/>
    <w:rsid w:val="00C97287"/>
    <w:rsid w:val="00C97A0A"/>
    <w:rsid w:val="00C97E50"/>
    <w:rsid w:val="00C97F85"/>
    <w:rsid w:val="00CA05C0"/>
    <w:rsid w:val="00CA0713"/>
    <w:rsid w:val="00CA07E7"/>
    <w:rsid w:val="00CA09DF"/>
    <w:rsid w:val="00CA21F0"/>
    <w:rsid w:val="00CA254E"/>
    <w:rsid w:val="00CA25F0"/>
    <w:rsid w:val="00CA2AEB"/>
    <w:rsid w:val="00CA4AEB"/>
    <w:rsid w:val="00CA559E"/>
    <w:rsid w:val="00CA5A2B"/>
    <w:rsid w:val="00CA5B05"/>
    <w:rsid w:val="00CA613F"/>
    <w:rsid w:val="00CA6914"/>
    <w:rsid w:val="00CA6BB5"/>
    <w:rsid w:val="00CA7634"/>
    <w:rsid w:val="00CB1378"/>
    <w:rsid w:val="00CB1C7D"/>
    <w:rsid w:val="00CB229E"/>
    <w:rsid w:val="00CB24A6"/>
    <w:rsid w:val="00CB44CC"/>
    <w:rsid w:val="00CB59C6"/>
    <w:rsid w:val="00CB5E7E"/>
    <w:rsid w:val="00CB6283"/>
    <w:rsid w:val="00CB6AA6"/>
    <w:rsid w:val="00CB756C"/>
    <w:rsid w:val="00CB7647"/>
    <w:rsid w:val="00CB7D99"/>
    <w:rsid w:val="00CC1260"/>
    <w:rsid w:val="00CC161E"/>
    <w:rsid w:val="00CC68C2"/>
    <w:rsid w:val="00CC72A9"/>
    <w:rsid w:val="00CC793A"/>
    <w:rsid w:val="00CC7FC5"/>
    <w:rsid w:val="00CD1572"/>
    <w:rsid w:val="00CD1918"/>
    <w:rsid w:val="00CD1E21"/>
    <w:rsid w:val="00CD2419"/>
    <w:rsid w:val="00CD29A5"/>
    <w:rsid w:val="00CD35E3"/>
    <w:rsid w:val="00CD4146"/>
    <w:rsid w:val="00CD449B"/>
    <w:rsid w:val="00CD4873"/>
    <w:rsid w:val="00CD603F"/>
    <w:rsid w:val="00CD6D38"/>
    <w:rsid w:val="00CE0A96"/>
    <w:rsid w:val="00CE1775"/>
    <w:rsid w:val="00CE2BB8"/>
    <w:rsid w:val="00CE3676"/>
    <w:rsid w:val="00CE39BA"/>
    <w:rsid w:val="00CE3D69"/>
    <w:rsid w:val="00CE4BDC"/>
    <w:rsid w:val="00CE4CE1"/>
    <w:rsid w:val="00CE597D"/>
    <w:rsid w:val="00CE611B"/>
    <w:rsid w:val="00CF11A6"/>
    <w:rsid w:val="00CF2801"/>
    <w:rsid w:val="00CF2D79"/>
    <w:rsid w:val="00CF3990"/>
    <w:rsid w:val="00CF49DD"/>
    <w:rsid w:val="00CF4A41"/>
    <w:rsid w:val="00CF6FAE"/>
    <w:rsid w:val="00D01872"/>
    <w:rsid w:val="00D0274D"/>
    <w:rsid w:val="00D03693"/>
    <w:rsid w:val="00D042A0"/>
    <w:rsid w:val="00D05D70"/>
    <w:rsid w:val="00D0626B"/>
    <w:rsid w:val="00D07052"/>
    <w:rsid w:val="00D07EAD"/>
    <w:rsid w:val="00D11ECD"/>
    <w:rsid w:val="00D120F9"/>
    <w:rsid w:val="00D12762"/>
    <w:rsid w:val="00D12CBC"/>
    <w:rsid w:val="00D12D4C"/>
    <w:rsid w:val="00D143D1"/>
    <w:rsid w:val="00D150F8"/>
    <w:rsid w:val="00D15284"/>
    <w:rsid w:val="00D1559B"/>
    <w:rsid w:val="00D160A5"/>
    <w:rsid w:val="00D1683E"/>
    <w:rsid w:val="00D207FA"/>
    <w:rsid w:val="00D209D3"/>
    <w:rsid w:val="00D2139E"/>
    <w:rsid w:val="00D218AF"/>
    <w:rsid w:val="00D226E8"/>
    <w:rsid w:val="00D2293C"/>
    <w:rsid w:val="00D23C9A"/>
    <w:rsid w:val="00D246D2"/>
    <w:rsid w:val="00D24F56"/>
    <w:rsid w:val="00D26984"/>
    <w:rsid w:val="00D27104"/>
    <w:rsid w:val="00D27F32"/>
    <w:rsid w:val="00D3303A"/>
    <w:rsid w:val="00D33C5C"/>
    <w:rsid w:val="00D34CC7"/>
    <w:rsid w:val="00D34DDD"/>
    <w:rsid w:val="00D37F55"/>
    <w:rsid w:val="00D4009B"/>
    <w:rsid w:val="00D402FC"/>
    <w:rsid w:val="00D4077C"/>
    <w:rsid w:val="00D414EE"/>
    <w:rsid w:val="00D41BAA"/>
    <w:rsid w:val="00D4352C"/>
    <w:rsid w:val="00D43A3C"/>
    <w:rsid w:val="00D44B44"/>
    <w:rsid w:val="00D4516B"/>
    <w:rsid w:val="00D46EBE"/>
    <w:rsid w:val="00D46F41"/>
    <w:rsid w:val="00D5148F"/>
    <w:rsid w:val="00D51EA8"/>
    <w:rsid w:val="00D52809"/>
    <w:rsid w:val="00D52928"/>
    <w:rsid w:val="00D541B5"/>
    <w:rsid w:val="00D56579"/>
    <w:rsid w:val="00D56D74"/>
    <w:rsid w:val="00D57F7E"/>
    <w:rsid w:val="00D600AA"/>
    <w:rsid w:val="00D60737"/>
    <w:rsid w:val="00D609F8"/>
    <w:rsid w:val="00D61A30"/>
    <w:rsid w:val="00D631A5"/>
    <w:rsid w:val="00D63893"/>
    <w:rsid w:val="00D64EA6"/>
    <w:rsid w:val="00D67CA9"/>
    <w:rsid w:val="00D67E21"/>
    <w:rsid w:val="00D703D3"/>
    <w:rsid w:val="00D70908"/>
    <w:rsid w:val="00D73ED1"/>
    <w:rsid w:val="00D74C76"/>
    <w:rsid w:val="00D74F5E"/>
    <w:rsid w:val="00D7522F"/>
    <w:rsid w:val="00D760C1"/>
    <w:rsid w:val="00D76914"/>
    <w:rsid w:val="00D81258"/>
    <w:rsid w:val="00D8197D"/>
    <w:rsid w:val="00D83B6D"/>
    <w:rsid w:val="00D83E27"/>
    <w:rsid w:val="00D842E0"/>
    <w:rsid w:val="00D874D2"/>
    <w:rsid w:val="00D92259"/>
    <w:rsid w:val="00D926B9"/>
    <w:rsid w:val="00D9508E"/>
    <w:rsid w:val="00D95877"/>
    <w:rsid w:val="00D95B4F"/>
    <w:rsid w:val="00D96F66"/>
    <w:rsid w:val="00D979B1"/>
    <w:rsid w:val="00D979BD"/>
    <w:rsid w:val="00DA3666"/>
    <w:rsid w:val="00DA507F"/>
    <w:rsid w:val="00DA515F"/>
    <w:rsid w:val="00DA53C2"/>
    <w:rsid w:val="00DA558F"/>
    <w:rsid w:val="00DA6391"/>
    <w:rsid w:val="00DA63AC"/>
    <w:rsid w:val="00DA7102"/>
    <w:rsid w:val="00DA7E22"/>
    <w:rsid w:val="00DB1F7E"/>
    <w:rsid w:val="00DB2E0C"/>
    <w:rsid w:val="00DB3FE9"/>
    <w:rsid w:val="00DB4D78"/>
    <w:rsid w:val="00DB5009"/>
    <w:rsid w:val="00DB503C"/>
    <w:rsid w:val="00DB586C"/>
    <w:rsid w:val="00DB5A08"/>
    <w:rsid w:val="00DB5D15"/>
    <w:rsid w:val="00DB6BC7"/>
    <w:rsid w:val="00DB7AA3"/>
    <w:rsid w:val="00DC08AC"/>
    <w:rsid w:val="00DC0F37"/>
    <w:rsid w:val="00DC16B4"/>
    <w:rsid w:val="00DC1EBE"/>
    <w:rsid w:val="00DC332F"/>
    <w:rsid w:val="00DC369E"/>
    <w:rsid w:val="00DC3B5D"/>
    <w:rsid w:val="00DC4223"/>
    <w:rsid w:val="00DC46E6"/>
    <w:rsid w:val="00DC4A66"/>
    <w:rsid w:val="00DC4C7E"/>
    <w:rsid w:val="00DC4D2A"/>
    <w:rsid w:val="00DC5037"/>
    <w:rsid w:val="00DC5402"/>
    <w:rsid w:val="00DC59BA"/>
    <w:rsid w:val="00DC6D43"/>
    <w:rsid w:val="00DC74F4"/>
    <w:rsid w:val="00DC7F60"/>
    <w:rsid w:val="00DC7F9D"/>
    <w:rsid w:val="00DD0E94"/>
    <w:rsid w:val="00DD0EA1"/>
    <w:rsid w:val="00DD1723"/>
    <w:rsid w:val="00DD1863"/>
    <w:rsid w:val="00DD1D24"/>
    <w:rsid w:val="00DD2958"/>
    <w:rsid w:val="00DD4367"/>
    <w:rsid w:val="00DD4D72"/>
    <w:rsid w:val="00DD51B5"/>
    <w:rsid w:val="00DE04FE"/>
    <w:rsid w:val="00DE0905"/>
    <w:rsid w:val="00DE0DED"/>
    <w:rsid w:val="00DE1269"/>
    <w:rsid w:val="00DE1880"/>
    <w:rsid w:val="00DE29DC"/>
    <w:rsid w:val="00DE2FEC"/>
    <w:rsid w:val="00DE3F48"/>
    <w:rsid w:val="00DE3F53"/>
    <w:rsid w:val="00DE420B"/>
    <w:rsid w:val="00DE446B"/>
    <w:rsid w:val="00DE582A"/>
    <w:rsid w:val="00DE6017"/>
    <w:rsid w:val="00DE6123"/>
    <w:rsid w:val="00DE6363"/>
    <w:rsid w:val="00DE6CC3"/>
    <w:rsid w:val="00DE6D53"/>
    <w:rsid w:val="00DE76F2"/>
    <w:rsid w:val="00DE7C94"/>
    <w:rsid w:val="00DF033C"/>
    <w:rsid w:val="00DF06AB"/>
    <w:rsid w:val="00DF06F9"/>
    <w:rsid w:val="00DF3591"/>
    <w:rsid w:val="00DF3A48"/>
    <w:rsid w:val="00DF5556"/>
    <w:rsid w:val="00DF572E"/>
    <w:rsid w:val="00DF57B9"/>
    <w:rsid w:val="00DF5821"/>
    <w:rsid w:val="00DF6389"/>
    <w:rsid w:val="00DF6BD6"/>
    <w:rsid w:val="00DF6BDD"/>
    <w:rsid w:val="00DF71F3"/>
    <w:rsid w:val="00DF7BEA"/>
    <w:rsid w:val="00E02B57"/>
    <w:rsid w:val="00E03DFE"/>
    <w:rsid w:val="00E0444E"/>
    <w:rsid w:val="00E05E31"/>
    <w:rsid w:val="00E05FFA"/>
    <w:rsid w:val="00E0743F"/>
    <w:rsid w:val="00E07591"/>
    <w:rsid w:val="00E07BBE"/>
    <w:rsid w:val="00E10578"/>
    <w:rsid w:val="00E11353"/>
    <w:rsid w:val="00E13AD2"/>
    <w:rsid w:val="00E1423B"/>
    <w:rsid w:val="00E149D3"/>
    <w:rsid w:val="00E1515F"/>
    <w:rsid w:val="00E156A1"/>
    <w:rsid w:val="00E1611E"/>
    <w:rsid w:val="00E1698D"/>
    <w:rsid w:val="00E16B30"/>
    <w:rsid w:val="00E16F36"/>
    <w:rsid w:val="00E173BA"/>
    <w:rsid w:val="00E21173"/>
    <w:rsid w:val="00E2122B"/>
    <w:rsid w:val="00E23874"/>
    <w:rsid w:val="00E23D02"/>
    <w:rsid w:val="00E24599"/>
    <w:rsid w:val="00E2479A"/>
    <w:rsid w:val="00E25FC8"/>
    <w:rsid w:val="00E3006F"/>
    <w:rsid w:val="00E3064F"/>
    <w:rsid w:val="00E312EF"/>
    <w:rsid w:val="00E313CE"/>
    <w:rsid w:val="00E3215D"/>
    <w:rsid w:val="00E33241"/>
    <w:rsid w:val="00E3366C"/>
    <w:rsid w:val="00E33B7D"/>
    <w:rsid w:val="00E342AF"/>
    <w:rsid w:val="00E34652"/>
    <w:rsid w:val="00E346AF"/>
    <w:rsid w:val="00E347A2"/>
    <w:rsid w:val="00E34B93"/>
    <w:rsid w:val="00E34D90"/>
    <w:rsid w:val="00E355F0"/>
    <w:rsid w:val="00E35BD7"/>
    <w:rsid w:val="00E36965"/>
    <w:rsid w:val="00E36A9E"/>
    <w:rsid w:val="00E372B0"/>
    <w:rsid w:val="00E37B10"/>
    <w:rsid w:val="00E40D98"/>
    <w:rsid w:val="00E42380"/>
    <w:rsid w:val="00E4347A"/>
    <w:rsid w:val="00E43FF9"/>
    <w:rsid w:val="00E454ED"/>
    <w:rsid w:val="00E463EE"/>
    <w:rsid w:val="00E47293"/>
    <w:rsid w:val="00E47492"/>
    <w:rsid w:val="00E50354"/>
    <w:rsid w:val="00E506C8"/>
    <w:rsid w:val="00E509DC"/>
    <w:rsid w:val="00E52335"/>
    <w:rsid w:val="00E523C3"/>
    <w:rsid w:val="00E53544"/>
    <w:rsid w:val="00E5568E"/>
    <w:rsid w:val="00E55AA0"/>
    <w:rsid w:val="00E55CCC"/>
    <w:rsid w:val="00E55E3F"/>
    <w:rsid w:val="00E565C2"/>
    <w:rsid w:val="00E57563"/>
    <w:rsid w:val="00E60344"/>
    <w:rsid w:val="00E610CE"/>
    <w:rsid w:val="00E62C6A"/>
    <w:rsid w:val="00E63546"/>
    <w:rsid w:val="00E66D31"/>
    <w:rsid w:val="00E66FC0"/>
    <w:rsid w:val="00E6700A"/>
    <w:rsid w:val="00E679BD"/>
    <w:rsid w:val="00E7038D"/>
    <w:rsid w:val="00E71A95"/>
    <w:rsid w:val="00E71E2A"/>
    <w:rsid w:val="00E731FD"/>
    <w:rsid w:val="00E7439F"/>
    <w:rsid w:val="00E7478F"/>
    <w:rsid w:val="00E74944"/>
    <w:rsid w:val="00E7616E"/>
    <w:rsid w:val="00E77005"/>
    <w:rsid w:val="00E83C66"/>
    <w:rsid w:val="00E86338"/>
    <w:rsid w:val="00E90117"/>
    <w:rsid w:val="00E92E2A"/>
    <w:rsid w:val="00E92E82"/>
    <w:rsid w:val="00E9540B"/>
    <w:rsid w:val="00E95C43"/>
    <w:rsid w:val="00EA11F5"/>
    <w:rsid w:val="00EA2D81"/>
    <w:rsid w:val="00EA5835"/>
    <w:rsid w:val="00EA5DBA"/>
    <w:rsid w:val="00EA68F5"/>
    <w:rsid w:val="00EA7C0F"/>
    <w:rsid w:val="00EB0369"/>
    <w:rsid w:val="00EB0A17"/>
    <w:rsid w:val="00EB0CFF"/>
    <w:rsid w:val="00EB0ECB"/>
    <w:rsid w:val="00EB1B11"/>
    <w:rsid w:val="00EB1CFB"/>
    <w:rsid w:val="00EB3962"/>
    <w:rsid w:val="00EB406C"/>
    <w:rsid w:val="00EB5F9C"/>
    <w:rsid w:val="00EB606D"/>
    <w:rsid w:val="00EB65EA"/>
    <w:rsid w:val="00EC0B88"/>
    <w:rsid w:val="00EC0BE7"/>
    <w:rsid w:val="00EC15CA"/>
    <w:rsid w:val="00EC240A"/>
    <w:rsid w:val="00EC2D75"/>
    <w:rsid w:val="00EC47FE"/>
    <w:rsid w:val="00EC4DB8"/>
    <w:rsid w:val="00EC56A4"/>
    <w:rsid w:val="00EC5F74"/>
    <w:rsid w:val="00EC69FB"/>
    <w:rsid w:val="00EC6AD1"/>
    <w:rsid w:val="00EC7C9C"/>
    <w:rsid w:val="00ED04C2"/>
    <w:rsid w:val="00ED193A"/>
    <w:rsid w:val="00ED3209"/>
    <w:rsid w:val="00ED3D85"/>
    <w:rsid w:val="00ED4359"/>
    <w:rsid w:val="00ED6715"/>
    <w:rsid w:val="00ED6C38"/>
    <w:rsid w:val="00ED6C76"/>
    <w:rsid w:val="00ED6E2F"/>
    <w:rsid w:val="00ED722F"/>
    <w:rsid w:val="00ED776D"/>
    <w:rsid w:val="00ED7E4E"/>
    <w:rsid w:val="00ED7F43"/>
    <w:rsid w:val="00EE0A22"/>
    <w:rsid w:val="00EE0E95"/>
    <w:rsid w:val="00EE0FDC"/>
    <w:rsid w:val="00EE11EF"/>
    <w:rsid w:val="00EE159E"/>
    <w:rsid w:val="00EE1D45"/>
    <w:rsid w:val="00EE2820"/>
    <w:rsid w:val="00EE360F"/>
    <w:rsid w:val="00EE618E"/>
    <w:rsid w:val="00EE6D2D"/>
    <w:rsid w:val="00EE7C21"/>
    <w:rsid w:val="00EF1B69"/>
    <w:rsid w:val="00EF1E24"/>
    <w:rsid w:val="00EF1FF8"/>
    <w:rsid w:val="00EF2B70"/>
    <w:rsid w:val="00EF37A4"/>
    <w:rsid w:val="00EF3D0F"/>
    <w:rsid w:val="00EF3E16"/>
    <w:rsid w:val="00EF3EB3"/>
    <w:rsid w:val="00EF47F9"/>
    <w:rsid w:val="00EF4FFD"/>
    <w:rsid w:val="00EF5112"/>
    <w:rsid w:val="00EF56FD"/>
    <w:rsid w:val="00EF70C1"/>
    <w:rsid w:val="00F013CD"/>
    <w:rsid w:val="00F01F9F"/>
    <w:rsid w:val="00F02ABF"/>
    <w:rsid w:val="00F03241"/>
    <w:rsid w:val="00F03F49"/>
    <w:rsid w:val="00F040C2"/>
    <w:rsid w:val="00F04679"/>
    <w:rsid w:val="00F04852"/>
    <w:rsid w:val="00F06F02"/>
    <w:rsid w:val="00F11770"/>
    <w:rsid w:val="00F13251"/>
    <w:rsid w:val="00F143D0"/>
    <w:rsid w:val="00F161CA"/>
    <w:rsid w:val="00F1657A"/>
    <w:rsid w:val="00F16B0E"/>
    <w:rsid w:val="00F16FF1"/>
    <w:rsid w:val="00F177E0"/>
    <w:rsid w:val="00F20F6E"/>
    <w:rsid w:val="00F211C5"/>
    <w:rsid w:val="00F213CB"/>
    <w:rsid w:val="00F21A43"/>
    <w:rsid w:val="00F21A91"/>
    <w:rsid w:val="00F228D1"/>
    <w:rsid w:val="00F236C1"/>
    <w:rsid w:val="00F24185"/>
    <w:rsid w:val="00F27562"/>
    <w:rsid w:val="00F27A8D"/>
    <w:rsid w:val="00F27DD3"/>
    <w:rsid w:val="00F27FD4"/>
    <w:rsid w:val="00F3114F"/>
    <w:rsid w:val="00F346BA"/>
    <w:rsid w:val="00F348EB"/>
    <w:rsid w:val="00F37806"/>
    <w:rsid w:val="00F378B0"/>
    <w:rsid w:val="00F37E13"/>
    <w:rsid w:val="00F40352"/>
    <w:rsid w:val="00F418B9"/>
    <w:rsid w:val="00F41A63"/>
    <w:rsid w:val="00F41AEB"/>
    <w:rsid w:val="00F41C45"/>
    <w:rsid w:val="00F43275"/>
    <w:rsid w:val="00F43D6C"/>
    <w:rsid w:val="00F454E0"/>
    <w:rsid w:val="00F46270"/>
    <w:rsid w:val="00F47139"/>
    <w:rsid w:val="00F50442"/>
    <w:rsid w:val="00F51079"/>
    <w:rsid w:val="00F521D6"/>
    <w:rsid w:val="00F52F33"/>
    <w:rsid w:val="00F53D33"/>
    <w:rsid w:val="00F54EC7"/>
    <w:rsid w:val="00F55491"/>
    <w:rsid w:val="00F557CD"/>
    <w:rsid w:val="00F63E6D"/>
    <w:rsid w:val="00F6442C"/>
    <w:rsid w:val="00F64A5B"/>
    <w:rsid w:val="00F64BA5"/>
    <w:rsid w:val="00F700C2"/>
    <w:rsid w:val="00F71110"/>
    <w:rsid w:val="00F71866"/>
    <w:rsid w:val="00F7218C"/>
    <w:rsid w:val="00F73A86"/>
    <w:rsid w:val="00F73CF9"/>
    <w:rsid w:val="00F74369"/>
    <w:rsid w:val="00F7445C"/>
    <w:rsid w:val="00F74B20"/>
    <w:rsid w:val="00F75182"/>
    <w:rsid w:val="00F801C0"/>
    <w:rsid w:val="00F81083"/>
    <w:rsid w:val="00F821F0"/>
    <w:rsid w:val="00F8276C"/>
    <w:rsid w:val="00F827D6"/>
    <w:rsid w:val="00F82EC9"/>
    <w:rsid w:val="00F82FA5"/>
    <w:rsid w:val="00F83DD1"/>
    <w:rsid w:val="00F84A99"/>
    <w:rsid w:val="00F855F9"/>
    <w:rsid w:val="00F8633B"/>
    <w:rsid w:val="00F87880"/>
    <w:rsid w:val="00F9127C"/>
    <w:rsid w:val="00F93092"/>
    <w:rsid w:val="00F933E6"/>
    <w:rsid w:val="00F93456"/>
    <w:rsid w:val="00F93FE1"/>
    <w:rsid w:val="00F95970"/>
    <w:rsid w:val="00F95D82"/>
    <w:rsid w:val="00F976C2"/>
    <w:rsid w:val="00FA078A"/>
    <w:rsid w:val="00FA0840"/>
    <w:rsid w:val="00FA0870"/>
    <w:rsid w:val="00FA0E4B"/>
    <w:rsid w:val="00FA17AB"/>
    <w:rsid w:val="00FA1BFB"/>
    <w:rsid w:val="00FA1C1E"/>
    <w:rsid w:val="00FA1F5F"/>
    <w:rsid w:val="00FA35C8"/>
    <w:rsid w:val="00FA495C"/>
    <w:rsid w:val="00FA5003"/>
    <w:rsid w:val="00FA5D7A"/>
    <w:rsid w:val="00FA6AEF"/>
    <w:rsid w:val="00FA6BA8"/>
    <w:rsid w:val="00FA744A"/>
    <w:rsid w:val="00FA7718"/>
    <w:rsid w:val="00FB27C4"/>
    <w:rsid w:val="00FB3256"/>
    <w:rsid w:val="00FB475E"/>
    <w:rsid w:val="00FB50B8"/>
    <w:rsid w:val="00FB5414"/>
    <w:rsid w:val="00FB6073"/>
    <w:rsid w:val="00FB6618"/>
    <w:rsid w:val="00FC009A"/>
    <w:rsid w:val="00FC03F5"/>
    <w:rsid w:val="00FC2290"/>
    <w:rsid w:val="00FC269C"/>
    <w:rsid w:val="00FC3178"/>
    <w:rsid w:val="00FC3964"/>
    <w:rsid w:val="00FC3CCB"/>
    <w:rsid w:val="00FC45BF"/>
    <w:rsid w:val="00FC493E"/>
    <w:rsid w:val="00FC4FCB"/>
    <w:rsid w:val="00FC58B9"/>
    <w:rsid w:val="00FC5BEE"/>
    <w:rsid w:val="00FC7198"/>
    <w:rsid w:val="00FD0C0E"/>
    <w:rsid w:val="00FD115A"/>
    <w:rsid w:val="00FD13A7"/>
    <w:rsid w:val="00FD2054"/>
    <w:rsid w:val="00FD340B"/>
    <w:rsid w:val="00FD422D"/>
    <w:rsid w:val="00FD4411"/>
    <w:rsid w:val="00FD5994"/>
    <w:rsid w:val="00FD60C9"/>
    <w:rsid w:val="00FD60D4"/>
    <w:rsid w:val="00FD6758"/>
    <w:rsid w:val="00FD6EA9"/>
    <w:rsid w:val="00FD75E1"/>
    <w:rsid w:val="00FD7C83"/>
    <w:rsid w:val="00FE04BA"/>
    <w:rsid w:val="00FE1034"/>
    <w:rsid w:val="00FE255F"/>
    <w:rsid w:val="00FE2D8C"/>
    <w:rsid w:val="00FE3C9B"/>
    <w:rsid w:val="00FE5780"/>
    <w:rsid w:val="00FE5DDD"/>
    <w:rsid w:val="00FE5F0D"/>
    <w:rsid w:val="00FF01FE"/>
    <w:rsid w:val="00FF04A0"/>
    <w:rsid w:val="00FF04AD"/>
    <w:rsid w:val="00FF1507"/>
    <w:rsid w:val="00FF16A4"/>
    <w:rsid w:val="00FF238E"/>
    <w:rsid w:val="00FF29E2"/>
    <w:rsid w:val="00FF50C1"/>
    <w:rsid w:val="00FF597C"/>
    <w:rsid w:val="00FF5E70"/>
    <w:rsid w:val="00FF6333"/>
    <w:rsid w:val="00FF79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02592"/>
  <w15:chartTrackingRefBased/>
  <w15:docId w15:val="{A99BDE80-DF25-4887-AD46-BA203412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FD4"/>
    <w:rPr>
      <w:rFonts w:ascii="Times New Roman" w:hAnsi="Times New Roman"/>
    </w:rPr>
  </w:style>
  <w:style w:type="paragraph" w:styleId="Titre1">
    <w:name w:val="heading 1"/>
    <w:basedOn w:val="Normal"/>
    <w:next w:val="Normal"/>
    <w:link w:val="Titre1Car"/>
    <w:uiPriority w:val="9"/>
    <w:qFormat/>
    <w:rsid w:val="00AD0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74313"/>
    <w:pPr>
      <w:keepNext/>
      <w:keepLines/>
      <w:spacing w:before="160" w:after="80"/>
      <w:outlineLvl w:val="1"/>
    </w:pPr>
    <w:rPr>
      <w:rFonts w:ascii="Georgia" w:eastAsiaTheme="majorEastAsia" w:hAnsi="Georgia" w:cstheme="majorBidi"/>
      <w:color w:val="0F4761" w:themeColor="accent1" w:themeShade="BF"/>
      <w:sz w:val="36"/>
      <w:szCs w:val="32"/>
    </w:rPr>
  </w:style>
  <w:style w:type="paragraph" w:styleId="Titre3">
    <w:name w:val="heading 3"/>
    <w:basedOn w:val="Normal"/>
    <w:next w:val="Normal"/>
    <w:link w:val="Titre3Car"/>
    <w:uiPriority w:val="9"/>
    <w:unhideWhenUsed/>
    <w:qFormat/>
    <w:rsid w:val="00AD04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04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04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04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04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04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04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04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74313"/>
    <w:rPr>
      <w:rFonts w:ascii="Georgia" w:eastAsiaTheme="majorEastAsia" w:hAnsi="Georgia" w:cstheme="majorBidi"/>
      <w:color w:val="0F4761" w:themeColor="accent1" w:themeShade="BF"/>
      <w:sz w:val="36"/>
      <w:szCs w:val="32"/>
    </w:rPr>
  </w:style>
  <w:style w:type="character" w:customStyle="1" w:styleId="Titre3Car">
    <w:name w:val="Titre 3 Car"/>
    <w:basedOn w:val="Policepardfaut"/>
    <w:link w:val="Titre3"/>
    <w:uiPriority w:val="9"/>
    <w:rsid w:val="00AD04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04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04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04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04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04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0419"/>
    <w:rPr>
      <w:rFonts w:eastAsiaTheme="majorEastAsia" w:cstheme="majorBidi"/>
      <w:color w:val="272727" w:themeColor="text1" w:themeTint="D8"/>
    </w:rPr>
  </w:style>
  <w:style w:type="paragraph" w:styleId="Titre">
    <w:name w:val="Title"/>
    <w:basedOn w:val="Normal"/>
    <w:next w:val="Normal"/>
    <w:link w:val="TitreCar"/>
    <w:uiPriority w:val="10"/>
    <w:qFormat/>
    <w:rsid w:val="00AD0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04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04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04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0419"/>
    <w:pPr>
      <w:spacing w:before="160"/>
      <w:jc w:val="center"/>
    </w:pPr>
    <w:rPr>
      <w:i/>
      <w:iCs/>
      <w:color w:val="404040" w:themeColor="text1" w:themeTint="BF"/>
    </w:rPr>
  </w:style>
  <w:style w:type="character" w:customStyle="1" w:styleId="CitationCar">
    <w:name w:val="Citation Car"/>
    <w:basedOn w:val="Policepardfaut"/>
    <w:link w:val="Citation"/>
    <w:uiPriority w:val="29"/>
    <w:rsid w:val="00AD0419"/>
    <w:rPr>
      <w:i/>
      <w:iCs/>
      <w:color w:val="404040" w:themeColor="text1" w:themeTint="BF"/>
    </w:rPr>
  </w:style>
  <w:style w:type="paragraph" w:styleId="Paragraphedeliste">
    <w:name w:val="List Paragraph"/>
    <w:basedOn w:val="Normal"/>
    <w:uiPriority w:val="34"/>
    <w:qFormat/>
    <w:rsid w:val="00AD0419"/>
    <w:pPr>
      <w:ind w:left="720"/>
      <w:contextualSpacing/>
    </w:pPr>
  </w:style>
  <w:style w:type="character" w:styleId="Accentuationintense">
    <w:name w:val="Intense Emphasis"/>
    <w:basedOn w:val="Policepardfaut"/>
    <w:uiPriority w:val="21"/>
    <w:qFormat/>
    <w:rsid w:val="00AD0419"/>
    <w:rPr>
      <w:i/>
      <w:iCs/>
      <w:color w:val="0F4761" w:themeColor="accent1" w:themeShade="BF"/>
    </w:rPr>
  </w:style>
  <w:style w:type="paragraph" w:styleId="Citationintense">
    <w:name w:val="Intense Quote"/>
    <w:basedOn w:val="Normal"/>
    <w:next w:val="Normal"/>
    <w:link w:val="CitationintenseCar"/>
    <w:uiPriority w:val="30"/>
    <w:qFormat/>
    <w:rsid w:val="00AD0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0419"/>
    <w:rPr>
      <w:i/>
      <w:iCs/>
      <w:color w:val="0F4761" w:themeColor="accent1" w:themeShade="BF"/>
    </w:rPr>
  </w:style>
  <w:style w:type="character" w:styleId="Rfrenceintense">
    <w:name w:val="Intense Reference"/>
    <w:basedOn w:val="Policepardfaut"/>
    <w:uiPriority w:val="32"/>
    <w:qFormat/>
    <w:rsid w:val="00AD0419"/>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B3574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35743"/>
    <w:rPr>
      <w:sz w:val="20"/>
      <w:szCs w:val="20"/>
    </w:rPr>
  </w:style>
  <w:style w:type="character" w:styleId="Appelnotedebasdep">
    <w:name w:val="footnote reference"/>
    <w:basedOn w:val="Policepardfaut"/>
    <w:uiPriority w:val="99"/>
    <w:semiHidden/>
    <w:unhideWhenUsed/>
    <w:rsid w:val="00B35743"/>
    <w:rPr>
      <w:vertAlign w:val="superscript"/>
    </w:rPr>
  </w:style>
  <w:style w:type="paragraph" w:styleId="Lgende">
    <w:name w:val="caption"/>
    <w:basedOn w:val="Normal"/>
    <w:next w:val="Normal"/>
    <w:uiPriority w:val="35"/>
    <w:unhideWhenUsed/>
    <w:qFormat/>
    <w:rsid w:val="0072099B"/>
    <w:pPr>
      <w:spacing w:after="200" w:line="240" w:lineRule="auto"/>
    </w:pPr>
    <w:rPr>
      <w:i/>
      <w:iCs/>
      <w:color w:val="0E2841" w:themeColor="text2"/>
      <w:sz w:val="18"/>
      <w:szCs w:val="18"/>
    </w:rPr>
  </w:style>
  <w:style w:type="character" w:styleId="Lienhypertexte">
    <w:name w:val="Hyperlink"/>
    <w:basedOn w:val="Policepardfaut"/>
    <w:uiPriority w:val="99"/>
    <w:unhideWhenUsed/>
    <w:rsid w:val="001824F1"/>
    <w:rPr>
      <w:color w:val="467886" w:themeColor="hyperlink"/>
      <w:u w:val="single"/>
    </w:rPr>
  </w:style>
  <w:style w:type="character" w:styleId="Mentionnonrsolue">
    <w:name w:val="Unresolved Mention"/>
    <w:basedOn w:val="Policepardfaut"/>
    <w:uiPriority w:val="99"/>
    <w:semiHidden/>
    <w:unhideWhenUsed/>
    <w:rsid w:val="001824F1"/>
    <w:rPr>
      <w:color w:val="605E5C"/>
      <w:shd w:val="clear" w:color="auto" w:fill="E1DFDD"/>
    </w:rPr>
  </w:style>
  <w:style w:type="character" w:styleId="Marquedecommentaire">
    <w:name w:val="annotation reference"/>
    <w:basedOn w:val="Policepardfaut"/>
    <w:uiPriority w:val="99"/>
    <w:semiHidden/>
    <w:unhideWhenUsed/>
    <w:rsid w:val="000B3C1E"/>
    <w:rPr>
      <w:sz w:val="16"/>
      <w:szCs w:val="16"/>
    </w:rPr>
  </w:style>
  <w:style w:type="paragraph" w:styleId="Commentaire">
    <w:name w:val="annotation text"/>
    <w:basedOn w:val="Normal"/>
    <w:link w:val="CommentaireCar"/>
    <w:uiPriority w:val="99"/>
    <w:unhideWhenUsed/>
    <w:rsid w:val="000B3C1E"/>
    <w:pPr>
      <w:spacing w:line="240" w:lineRule="auto"/>
    </w:pPr>
    <w:rPr>
      <w:sz w:val="20"/>
      <w:szCs w:val="20"/>
    </w:rPr>
  </w:style>
  <w:style w:type="character" w:customStyle="1" w:styleId="CommentaireCar">
    <w:name w:val="Commentaire Car"/>
    <w:basedOn w:val="Policepardfaut"/>
    <w:link w:val="Commentaire"/>
    <w:uiPriority w:val="99"/>
    <w:rsid w:val="000B3C1E"/>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0B3C1E"/>
    <w:rPr>
      <w:b/>
      <w:bCs/>
    </w:rPr>
  </w:style>
  <w:style w:type="character" w:customStyle="1" w:styleId="ObjetducommentaireCar">
    <w:name w:val="Objet du commentaire Car"/>
    <w:basedOn w:val="CommentaireCar"/>
    <w:link w:val="Objetducommentaire"/>
    <w:uiPriority w:val="99"/>
    <w:semiHidden/>
    <w:rsid w:val="000B3C1E"/>
    <w:rPr>
      <w:rFonts w:ascii="Times New Roman" w:hAnsi="Times New Roman"/>
      <w:b/>
      <w:bCs/>
      <w:sz w:val="20"/>
      <w:szCs w:val="20"/>
    </w:rPr>
  </w:style>
  <w:style w:type="paragraph" w:styleId="Bibliographie">
    <w:name w:val="Bibliography"/>
    <w:basedOn w:val="Normal"/>
    <w:next w:val="Normal"/>
    <w:uiPriority w:val="37"/>
    <w:unhideWhenUsed/>
    <w:rsid w:val="00634E69"/>
    <w:pPr>
      <w:spacing w:after="0" w:line="240" w:lineRule="auto"/>
      <w:ind w:left="720" w:hanging="720"/>
    </w:pPr>
  </w:style>
  <w:style w:type="paragraph" w:styleId="En-tte">
    <w:name w:val="header"/>
    <w:basedOn w:val="Normal"/>
    <w:link w:val="En-tteCar"/>
    <w:uiPriority w:val="99"/>
    <w:unhideWhenUsed/>
    <w:rsid w:val="002D6C2F"/>
    <w:pPr>
      <w:tabs>
        <w:tab w:val="center" w:pos="4536"/>
        <w:tab w:val="right" w:pos="9072"/>
      </w:tabs>
      <w:spacing w:after="0" w:line="240" w:lineRule="auto"/>
    </w:pPr>
  </w:style>
  <w:style w:type="character" w:customStyle="1" w:styleId="En-tteCar">
    <w:name w:val="En-tête Car"/>
    <w:basedOn w:val="Policepardfaut"/>
    <w:link w:val="En-tte"/>
    <w:uiPriority w:val="99"/>
    <w:rsid w:val="002D6C2F"/>
    <w:rPr>
      <w:rFonts w:ascii="Times New Roman" w:hAnsi="Times New Roman"/>
    </w:rPr>
  </w:style>
  <w:style w:type="paragraph" w:styleId="Pieddepage">
    <w:name w:val="footer"/>
    <w:basedOn w:val="Normal"/>
    <w:link w:val="PieddepageCar"/>
    <w:uiPriority w:val="99"/>
    <w:unhideWhenUsed/>
    <w:rsid w:val="002D6C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6C2F"/>
    <w:rPr>
      <w:rFonts w:ascii="Times New Roman" w:hAnsi="Times New Roman"/>
    </w:rPr>
  </w:style>
  <w:style w:type="paragraph" w:styleId="NormalWeb">
    <w:name w:val="Normal (Web)"/>
    <w:basedOn w:val="Normal"/>
    <w:uiPriority w:val="99"/>
    <w:semiHidden/>
    <w:unhideWhenUsed/>
    <w:rsid w:val="00C7243B"/>
    <w:rPr>
      <w:rFonts w:cs="Times New Roman"/>
    </w:rPr>
  </w:style>
  <w:style w:type="character" w:styleId="Appeldenotedefin">
    <w:name w:val="endnote reference"/>
    <w:basedOn w:val="Policepardfaut"/>
    <w:uiPriority w:val="99"/>
    <w:semiHidden/>
    <w:unhideWhenUsed/>
    <w:rsid w:val="004832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oupard@parisnanterre.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14BE7-200A-420C-BC80-E814F6130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23209</Words>
  <Characters>135545</Characters>
  <Application>Microsoft Office Word</Application>
  <DocSecurity>0</DocSecurity>
  <Lines>1964</Lines>
  <Paragraphs>380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Poupard  X2019</dc:creator>
  <cp:keywords/>
  <dc:description/>
  <cp:lastModifiedBy>Adam Poupard  X2019</cp:lastModifiedBy>
  <cp:revision>13</cp:revision>
  <cp:lastPrinted>2026-05-17T20:30:00Z</cp:lastPrinted>
  <dcterms:created xsi:type="dcterms:W3CDTF">2026-05-17T20:28:00Z</dcterms:created>
  <dcterms:modified xsi:type="dcterms:W3CDTF">2026-05-26T18:07:00Z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id="J9LZ0EPO"/&gt;&lt;style id="http://www.zotero.org/styles/apa-fr-provost" hasBibliography="1" bibliographyStyleHasBeenSet="1"/&gt;&lt;prefs&gt;&lt;pref name="fieldType" value="Field"/&gt;&lt;pref name="automaticJournalAbb</vt:lpwstr>
  </property>
  <property fmtid="{D5CDD505-2E9C-101B-9397-08002B2CF9AE}" pid="3" name="ZOTERO_PREF_2">
    <vt:lpwstr>reviations" value="true"/&gt;&lt;/prefs&gt;&lt;/data&gt;</vt:lpwstr>
  </property>
</Properties>
</file>