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htadbxpzrdfr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What you should know about building an ethical Isa in 2026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ri0cxqeihm9l" w:id="1"/>
      <w:bookmarkEnd w:id="1"/>
      <w:r w:rsidDel="00000000" w:rsidR="00000000" w:rsidRPr="00000000">
        <w:rPr>
          <w:sz w:val="50"/>
          <w:szCs w:val="50"/>
          <w:rtl w:val="0"/>
        </w:rPr>
        <w:t xml:space="preserve">Those who put money in defence, tobacco and mining have had big returns but you can still do well — and keep a clear conscience — with greener, cleaner companies</w:t>
      </w:r>
    </w:p>
    <w:p w:rsidR="00000000" w:rsidDel="00000000" w:rsidP="00000000" w:rsidRDefault="00000000" w:rsidRPr="00000000" w14:paraId="00000003">
      <w:pPr>
        <w:spacing w:after="280" w:before="280" w:lineRule="auto"/>
        <w:rPr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For a global option Haynes likes the </w:t>
      </w: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Royal London Sustainable World trust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, up 15.6 per cent in a year, which focuses on companies improving the environment, welfare and quality of life. Hollands adds the </w:t>
      </w: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M&amp;G Positive Impact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Schroder Global Sustainable Value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funds as other options for investors.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