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460" w:before="0" w:line="291.38399999999996" w:lineRule="auto"/>
        <w:rPr>
          <w:b w:val="1"/>
          <w:bCs w:val="1"/>
          <w:color w:val="1b1b1b"/>
          <w:sz w:val="90"/>
          <w:szCs w:val="90"/>
        </w:rPr>
      </w:pPr>
      <w:bookmarkStart w:colFirst="0" w:colLast="0" w:name="_ycppg11bdj06" w:id="0"/>
      <w:bookmarkEnd w:id="0"/>
      <w:r w:rsidDel="00000000" w:rsidR="00000000" w:rsidRPr="00000000">
        <w:rPr>
          <w:b w:val="1"/>
          <w:bCs w:val="1"/>
          <w:color w:val="1b1b1b"/>
          <w:sz w:val="90"/>
          <w:szCs w:val="90"/>
          <w:rtl w:val="0"/>
        </w:rPr>
        <w:t xml:space="preserve">‘Expecto return-um’: M&amp;G cashes in on new Harry Potter store</w:t>
      </w:r>
    </w:p>
    <w:p w:rsidR="00000000" w:rsidDel="00000000" w:rsidP="00000000" w:rsidRDefault="00000000" w:rsidRPr="00000000" w14:paraId="00000002">
      <w:pPr>
        <w:pStyle w:val="Heading2"/>
        <w:keepNext w:val="0"/>
        <w:keepLines w:val="0"/>
        <w:spacing w:after="80" w:before="0" w:line="305.46" w:lineRule="auto"/>
        <w:rPr>
          <w:sz w:val="50"/>
          <w:szCs w:val="50"/>
        </w:rPr>
      </w:pPr>
      <w:bookmarkStart w:colFirst="0" w:colLast="0" w:name="_1b5cclxs3rdc" w:id="1"/>
      <w:bookmarkEnd w:id="1"/>
      <w:r w:rsidDel="00000000" w:rsidR="00000000" w:rsidRPr="00000000">
        <w:rPr>
          <w:sz w:val="50"/>
          <w:szCs w:val="50"/>
          <w:rtl w:val="0"/>
        </w:rPr>
        <w:t xml:space="preserve">The new Oxford Street store will follow similar projects in New York, Chicago and Tokyo.</w:t>
      </w:r>
    </w:p>
    <w:p w:rsidR="00000000" w:rsidDel="00000000" w:rsidP="00000000" w:rsidRDefault="00000000" w:rsidRPr="00000000" w14:paraId="00000003">
      <w:pPr>
        <w:spacing w:after="260" w:line="360" w:lineRule="auto"/>
        <w:rPr>
          <w:sz w:val="50"/>
          <w:szCs w:val="50"/>
        </w:rPr>
      </w:pPr>
      <w:r w:rsidDel="00000000" w:rsidR="00000000" w:rsidRPr="00000000">
        <w:rPr>
          <w:rtl w:val="0"/>
        </w:rPr>
      </w:r>
    </w:p>
    <w:p w:rsidR="00000000" w:rsidDel="00000000" w:rsidP="00000000" w:rsidRDefault="00000000" w:rsidRPr="00000000" w14:paraId="00000004">
      <w:pPr>
        <w:spacing w:after="280" w:before="280" w:lineRule="auto"/>
        <w:rPr>
          <w:color w:val="1b1b1b"/>
          <w:sz w:val="27"/>
          <w:szCs w:val="27"/>
        </w:rPr>
      </w:pPr>
      <w:r w:rsidDel="00000000" w:rsidR="00000000" w:rsidRPr="00000000">
        <w:rPr>
          <w:color w:val="1b1b1b"/>
          <w:sz w:val="27"/>
          <w:szCs w:val="27"/>
          <w:rtl w:val="0"/>
        </w:rPr>
        <w:t xml:space="preserve">A central London property redevelopment, backed by M&amp;G’s £130bn With Profits fund, is being used as the UK’s first Harry Potter flagship store.</w:t>
      </w:r>
    </w:p>
    <w:p w:rsidR="00000000" w:rsidDel="00000000" w:rsidP="00000000" w:rsidRDefault="00000000" w:rsidRPr="00000000" w14:paraId="00000005">
      <w:pPr>
        <w:spacing w:after="280" w:before="280" w:lineRule="auto"/>
        <w:rPr>
          <w:color w:val="1b1b1b"/>
          <w:sz w:val="27"/>
          <w:szCs w:val="27"/>
        </w:rPr>
      </w:pPr>
      <w:r w:rsidDel="00000000" w:rsidR="00000000" w:rsidRPr="00000000">
        <w:rPr>
          <w:color w:val="1b1b1b"/>
          <w:sz w:val="27"/>
          <w:szCs w:val="27"/>
          <w:rtl w:val="0"/>
        </w:rPr>
        <w:t xml:space="preserve">The two floor property, based at the £250m redevelopment named The Ribbon on Oxford Street, will be leased to Warner Brothers. The shop opening follows similar openings in New York, Chicago and Tokyo.</w:t>
      </w:r>
    </w:p>
    <w:p w:rsidR="00000000" w:rsidDel="00000000" w:rsidP="00000000" w:rsidRDefault="00000000" w:rsidRPr="00000000" w14:paraId="00000006">
      <w:pPr>
        <w:spacing w:after="280" w:before="280" w:lineRule="auto"/>
        <w:rPr>
          <w:color w:val="1b1b1b"/>
          <w:sz w:val="27"/>
          <w:szCs w:val="27"/>
        </w:rPr>
      </w:pPr>
      <w:r w:rsidDel="00000000" w:rsidR="00000000" w:rsidRPr="00000000">
        <w:rPr>
          <w:color w:val="1b1b1b"/>
          <w:sz w:val="27"/>
          <w:szCs w:val="27"/>
          <w:rtl w:val="0"/>
        </w:rPr>
        <w:t xml:space="preserve">Ciaran Mulligan, CIO at M&amp;G Life, said: ‘This deal shows how the high street can bring some magic to your pension investments. </w:t>
      </w:r>
    </w:p>
    <w:p w:rsidR="00000000" w:rsidDel="00000000" w:rsidP="00000000" w:rsidRDefault="00000000" w:rsidRPr="00000000" w14:paraId="00000007">
      <w:pPr>
        <w:spacing w:after="280" w:before="280" w:lineRule="auto"/>
        <w:rPr>
          <w:color w:val="1b1b1b"/>
          <w:sz w:val="27"/>
          <w:szCs w:val="27"/>
        </w:rPr>
      </w:pPr>
      <w:r w:rsidDel="00000000" w:rsidR="00000000" w:rsidRPr="00000000">
        <w:rPr>
          <w:color w:val="1b1b1b"/>
          <w:sz w:val="27"/>
          <w:szCs w:val="27"/>
          <w:rtl w:val="0"/>
        </w:rPr>
        <w:t xml:space="preserve">‘Through the scale of the With Profits fund, we can take on major redevelopments like this and turn historic sites into vibrant destinations that support our customers for years to come. By working closely with the real estate asset management team, we’re helping to bring new life to Oxford Street’ </w:t>
      </w:r>
    </w:p>
    <w:p w:rsidR="00000000" w:rsidDel="00000000" w:rsidP="00000000" w:rsidRDefault="00000000" w:rsidRPr="00000000" w14:paraId="00000008">
      <w:pPr>
        <w:spacing w:after="280" w:before="280" w:lineRule="auto"/>
        <w:rPr>
          <w:color w:val="1b1b1b"/>
          <w:sz w:val="27"/>
          <w:szCs w:val="27"/>
        </w:rPr>
      </w:pPr>
      <w:r w:rsidDel="00000000" w:rsidR="00000000" w:rsidRPr="00000000">
        <w:rPr>
          <w:color w:val="1b1b1b"/>
          <w:sz w:val="27"/>
          <w:szCs w:val="27"/>
          <w:rtl w:val="0"/>
        </w:rPr>
        <w:t xml:space="preserve">The real estate investment is part of M&amp;G With Profits’ large allocation to private markets, which amounts to around </w:t>
      </w:r>
      <w:hyperlink r:id="rId6">
        <w:r w:rsidDel="00000000" w:rsidR="00000000" w:rsidRPr="00000000">
          <w:rPr>
            <w:color w:val="416ed2"/>
            <w:sz w:val="27"/>
            <w:szCs w:val="27"/>
            <w:rtl w:val="0"/>
          </w:rPr>
          <w:t xml:space="preserve">£30bn of its allocation</w:t>
        </w:r>
      </w:hyperlink>
      <w:r w:rsidDel="00000000" w:rsidR="00000000" w:rsidRPr="00000000">
        <w:rPr>
          <w:color w:val="1b1b1b"/>
          <w:sz w:val="27"/>
          <w:szCs w:val="27"/>
          <w:rtl w:val="0"/>
        </w:rPr>
        <w:t xml:space="preserve">. In January the With Profits vehicle seeded a </w:t>
      </w:r>
      <w:hyperlink r:id="rId7">
        <w:r w:rsidDel="00000000" w:rsidR="00000000" w:rsidRPr="00000000">
          <w:rPr>
            <w:color w:val="416ed2"/>
            <w:sz w:val="27"/>
            <w:szCs w:val="27"/>
            <w:rtl w:val="0"/>
          </w:rPr>
          <w:t xml:space="preserve">new infrastructure fund</w:t>
        </w:r>
      </w:hyperlink>
      <w:r w:rsidDel="00000000" w:rsidR="00000000" w:rsidRPr="00000000">
        <w:rPr>
          <w:color w:val="1b1b1b"/>
          <w:sz w:val="27"/>
          <w:szCs w:val="27"/>
          <w:rtl w:val="0"/>
        </w:rPr>
        <w:t xml:space="preserve"> that backs social projects.</w:t>
      </w:r>
    </w:p>
    <w:p w:rsidR="00000000" w:rsidDel="00000000" w:rsidP="00000000" w:rsidRDefault="00000000" w:rsidRPr="00000000" w14:paraId="0000000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citywire.com/new-model-adviser/news/how-m-and-g-s-with-profits-fund-can-stomach-30bn-in-private-markets/a2442897?utm_medium=website&amp;utm_source=citywire_nma&amp;utm_campaign=article-in-body" TargetMode="External"/><Relationship Id="rId7" Type="http://schemas.openxmlformats.org/officeDocument/2006/relationships/hyperlink" Target="https://citywire.com/new-model-adviser/news/m-and-g-launches-social-investment-fund-in-1bn-infrastructure-push/a2482273?utm_medium=website&amp;utm_source=citywire_nma&amp;utm_campaign=article-in-bo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