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F68C5" w:rsidRDefault="00000000">
      <w:pPr>
        <w:pStyle w:val="Heading1"/>
        <w:keepNext w:val="0"/>
        <w:keepLines w:val="0"/>
        <w:spacing w:before="0" w:after="460" w:line="291" w:lineRule="auto"/>
        <w:rPr>
          <w:color w:val="1B1B1B"/>
          <w:sz w:val="27"/>
          <w:szCs w:val="27"/>
        </w:rPr>
      </w:pPr>
      <w:bookmarkStart w:id="0" w:name="_7su2lid72mux" w:colFirst="0" w:colLast="0"/>
      <w:bookmarkEnd w:id="0"/>
      <w:r>
        <w:rPr>
          <w:b/>
          <w:bCs/>
          <w:color w:val="1B1B1B"/>
          <w:sz w:val="90"/>
          <w:szCs w:val="90"/>
        </w:rPr>
        <w:t>Inheritance tax knowledge gap: almost one in three don’t understand laws and tax regimes</w:t>
      </w:r>
    </w:p>
    <w:p w14:paraId="00000002" w14:textId="77777777" w:rsidR="001F68C5" w:rsidRDefault="00000000">
      <w:pPr>
        <w:spacing w:before="280" w:after="280"/>
        <w:rPr>
          <w:color w:val="1B1B1B"/>
          <w:sz w:val="27"/>
          <w:szCs w:val="27"/>
        </w:rPr>
      </w:pPr>
      <w:r>
        <w:rPr>
          <w:color w:val="1B1B1B"/>
          <w:sz w:val="27"/>
          <w:szCs w:val="27"/>
        </w:rPr>
        <w:t xml:space="preserve">New research from </w:t>
      </w:r>
      <w:hyperlink r:id="rId4">
        <w:r>
          <w:rPr>
            <w:color w:val="416ED2"/>
            <w:sz w:val="27"/>
            <w:szCs w:val="27"/>
          </w:rPr>
          <w:t>M&amp;G</w:t>
        </w:r>
      </w:hyperlink>
      <w:r>
        <w:rPr>
          <w:color w:val="1B1B1B"/>
          <w:sz w:val="27"/>
          <w:szCs w:val="27"/>
        </w:rPr>
        <w:t xml:space="preserve"> reveals a significant knowledge gap around inheritance tax (IHT), with nearly one in three people (32%) who expect to receive an inheritance of at least £300,000 or who have £150k investable assets, admitting they do not fully understand the laws and tax regimes that govern it. This lack of awareness may be contributing to a reluctance to pass on wealth during their lifetime, despite the potential tax benefits of doing so.</w:t>
      </w:r>
    </w:p>
    <w:p w14:paraId="00000003" w14:textId="77777777" w:rsidR="001F68C5" w:rsidRDefault="00000000">
      <w:pPr>
        <w:spacing w:before="280" w:after="280"/>
        <w:rPr>
          <w:color w:val="1B1B1B"/>
          <w:sz w:val="27"/>
          <w:szCs w:val="27"/>
        </w:rPr>
      </w:pPr>
      <w:r>
        <w:rPr>
          <w:b/>
          <w:bCs/>
          <w:color w:val="1B1B1B"/>
          <w:sz w:val="27"/>
          <w:szCs w:val="27"/>
        </w:rPr>
        <w:t>Les Cameron, Head of Technical at M&amp;G, commented:</w:t>
      </w:r>
      <w:r>
        <w:rPr>
          <w:color w:val="1B1B1B"/>
          <w:sz w:val="27"/>
          <w:szCs w:val="27"/>
        </w:rPr>
        <w:t xml:space="preserve"> “Inheritance tax is a complex topic, but it’s not just a concern for the wealthy. Many families could reduce their liability through simple planning, yet inaction—often driven by uncertainty—leads to missed opportunities. As property prices remain high and tax thresholds stay frozen, more families are being drawn into the IHT net, resulting in record amounts of tax receipts for the government. While talking about life expectancy is never easy, the sooner these conversations take place, the easier it is to plan.”</w:t>
      </w:r>
    </w:p>
    <w:p w14:paraId="00000004" w14:textId="77777777" w:rsidR="001F68C5" w:rsidRDefault="00000000">
      <w:pPr>
        <w:spacing w:before="280" w:after="280"/>
        <w:rPr>
          <w:color w:val="1B1B1B"/>
          <w:sz w:val="27"/>
          <w:szCs w:val="27"/>
        </w:rPr>
      </w:pPr>
      <w:r>
        <w:rPr>
          <w:color w:val="1B1B1B"/>
          <w:sz w:val="27"/>
          <w:szCs w:val="27"/>
        </w:rPr>
        <w:lastRenderedPageBreak/>
        <w:t xml:space="preserve">Under current rules, inheritance tax is set at 40% and paid on estates worth over £325,000. Spouses and civil partners can inherit any unused allowance from each other and an extra £175,000 allowance may be available if an estate including residential property is passed to a direct descendant, which means it’s possible for a couple’s estate to be worth £1 million without being liable for IHT. </w:t>
      </w:r>
    </w:p>
    <w:p w14:paraId="00000005" w14:textId="77777777" w:rsidR="001F68C5" w:rsidRDefault="00000000">
      <w:pPr>
        <w:spacing w:before="280" w:after="280"/>
        <w:rPr>
          <w:b/>
          <w:bCs/>
          <w:color w:val="1B1B1B"/>
          <w:sz w:val="27"/>
          <w:szCs w:val="27"/>
        </w:rPr>
      </w:pPr>
      <w:r>
        <w:rPr>
          <w:b/>
          <w:bCs/>
          <w:color w:val="1B1B1B"/>
          <w:sz w:val="27"/>
          <w:szCs w:val="27"/>
        </w:rPr>
        <w:t>Women hold the keys to family wealth</w:t>
      </w:r>
    </w:p>
    <w:p w14:paraId="00000006" w14:textId="116A5D8D" w:rsidR="001F68C5" w:rsidRDefault="00000000">
      <w:pPr>
        <w:spacing w:before="280" w:after="280"/>
        <w:rPr>
          <w:color w:val="1B1B1B"/>
          <w:sz w:val="27"/>
          <w:szCs w:val="27"/>
        </w:rPr>
      </w:pPr>
      <w:r>
        <w:rPr>
          <w:color w:val="1B1B1B"/>
          <w:sz w:val="27"/>
          <w:szCs w:val="27"/>
        </w:rPr>
        <w:t xml:space="preserve">The </w:t>
      </w:r>
      <w:r w:rsidR="005A1C17">
        <w:rPr>
          <w:color w:val="1B1B1B"/>
          <w:sz w:val="27"/>
          <w:szCs w:val="27"/>
        </w:rPr>
        <w:t xml:space="preserve">M&amp;G </w:t>
      </w:r>
      <w:r>
        <w:rPr>
          <w:color w:val="1B1B1B"/>
          <w:sz w:val="27"/>
          <w:szCs w:val="27"/>
        </w:rPr>
        <w:t>research also highlights the growing influence of women in managing intergenerational wealth. With women typically living four years longer than men</w:t>
      </w:r>
      <w:r>
        <w:rPr>
          <w:color w:val="1B1B1B"/>
          <w:sz w:val="34"/>
          <w:szCs w:val="34"/>
          <w:vertAlign w:val="superscript"/>
        </w:rPr>
        <w:t>3</w:t>
      </w:r>
      <w:r>
        <w:rPr>
          <w:color w:val="1B1B1B"/>
          <w:sz w:val="27"/>
          <w:szCs w:val="27"/>
        </w:rPr>
        <w:t xml:space="preserve"> and having significant wealth of their own, there is an expanding need to support their financial aspirations. </w:t>
      </w:r>
    </w:p>
    <w:p w14:paraId="00000007" w14:textId="77777777" w:rsidR="001F68C5" w:rsidRDefault="00000000">
      <w:pPr>
        <w:spacing w:before="280" w:after="280"/>
        <w:rPr>
          <w:color w:val="1B1B1B"/>
          <w:sz w:val="27"/>
          <w:szCs w:val="27"/>
        </w:rPr>
      </w:pPr>
      <w:r>
        <w:rPr>
          <w:color w:val="1B1B1B"/>
          <w:sz w:val="27"/>
          <w:szCs w:val="27"/>
        </w:rPr>
        <w:t xml:space="preserve">According to </w:t>
      </w:r>
      <w:hyperlink r:id="rId5">
        <w:r>
          <w:rPr>
            <w:color w:val="416ED2"/>
            <w:sz w:val="27"/>
            <w:szCs w:val="27"/>
          </w:rPr>
          <w:t>M&amp;G’s The Untapped Potential of Women’s Wealth</w:t>
        </w:r>
      </w:hyperlink>
      <w:r>
        <w:rPr>
          <w:color w:val="1B1B1B"/>
          <w:sz w:val="27"/>
          <w:szCs w:val="27"/>
        </w:rPr>
        <w:t xml:space="preserve"> report, 31% of women expecting to inherit £300,000 or more believe the bulk will come from a partner—compared to just 18% of men. Financial advice plays a pivotal role, with 80%</w:t>
      </w:r>
      <w:r>
        <w:rPr>
          <w:color w:val="1B1B1B"/>
          <w:sz w:val="34"/>
          <w:szCs w:val="34"/>
          <w:vertAlign w:val="superscript"/>
        </w:rPr>
        <w:t>4</w:t>
      </w:r>
      <w:r>
        <w:rPr>
          <w:color w:val="1B1B1B"/>
          <w:sz w:val="27"/>
          <w:szCs w:val="27"/>
        </w:rPr>
        <w:t xml:space="preserve"> of advised women planning to use tax-efficient strategies to pass on wealth. </w:t>
      </w:r>
    </w:p>
    <w:p w14:paraId="00000008" w14:textId="77777777" w:rsidR="001F68C5" w:rsidRDefault="00000000">
      <w:pPr>
        <w:spacing w:before="280" w:after="280"/>
        <w:rPr>
          <w:color w:val="1B1B1B"/>
          <w:sz w:val="27"/>
          <w:szCs w:val="27"/>
        </w:rPr>
      </w:pPr>
      <w:r>
        <w:rPr>
          <w:b/>
          <w:bCs/>
          <w:color w:val="1B1B1B"/>
          <w:sz w:val="27"/>
          <w:szCs w:val="27"/>
        </w:rPr>
        <w:t>Les Cameron added:</w:t>
      </w:r>
      <w:r>
        <w:rPr>
          <w:color w:val="1B1B1B"/>
          <w:sz w:val="27"/>
          <w:szCs w:val="27"/>
        </w:rPr>
        <w:t xml:space="preserve"> “Our data shows women are becoming the key decision-makers in family wealth, yet the financial advice industry is still adapting. Advisers can play a key role in giving retiring women greater confidence that they will have the money for essential living costs, while ensuring their portfolios are still exposed to the growth required to cover care costs later in life. </w:t>
      </w:r>
    </w:p>
    <w:p w14:paraId="00000009" w14:textId="77777777" w:rsidR="001F68C5" w:rsidRDefault="001F68C5"/>
    <w:sectPr w:rsidR="001F68C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833A78F-470B-7148-B2D2-1B1E77F5F3A2}"/>
    <w:embedBold r:id="rId2" w:fontKey="{9BD96CB3-9E8F-0648-A7CD-36C2AB247721}"/>
    <w:embedItalic r:id="rId3" w:fontKey="{EC01FC03-B762-1843-92CE-611A7A319685}"/>
  </w:font>
  <w:font w:name="Times New Roman">
    <w:panose1 w:val="02020603050405020304"/>
    <w:charset w:val="00"/>
    <w:family w:val="roman"/>
    <w:pitch w:val="variable"/>
    <w:sig w:usb0="E0002EFF" w:usb1="C000785B" w:usb2="00000009" w:usb3="00000000" w:csb0="000001FF" w:csb1="00000000"/>
    <w:embedRegular r:id="rId4" w:fontKey="{805C2E98-7C15-9D40-AEC0-E84533E9FFF0}"/>
  </w:font>
  <w:font w:name="Calibri">
    <w:panose1 w:val="020F0502020204030204"/>
    <w:charset w:val="00"/>
    <w:family w:val="swiss"/>
    <w:pitch w:val="variable"/>
    <w:sig w:usb0="E4002EFF" w:usb1="C200247B" w:usb2="00000009" w:usb3="00000000" w:csb0="000001FF" w:csb1="00000000"/>
    <w:embedRegular r:id="rId5" w:fontKey="{C039DB83-B5D9-1049-BE20-BCA03C529952}"/>
  </w:font>
  <w:font w:name="Cambria">
    <w:panose1 w:val="02040503050406030204"/>
    <w:charset w:val="00"/>
    <w:family w:val="roman"/>
    <w:pitch w:val="variable"/>
    <w:sig w:usb0="E00006FF" w:usb1="420024FF" w:usb2="02000000" w:usb3="00000000" w:csb0="0000019F" w:csb1="00000000"/>
    <w:embedRegular r:id="rId6" w:fontKey="{C368D6CA-C134-B747-AB52-1136D89CE2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8C5"/>
    <w:rsid w:val="001F68C5"/>
    <w:rsid w:val="005A1C17"/>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F03030"/>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andg.com/dam/pru/shared/documents/en/webm101062705.pdf" TargetMode="External"/><Relationship Id="rId4" Type="http://schemas.openxmlformats.org/officeDocument/2006/relationships/hyperlink" Target="https://www.mandg.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2026-05-11T12:13:00Z</dcterms:created>
  <dcterms:modified xsi:type="dcterms:W3CDTF">2026-05-11T12:13:00Z</dcterms:modified>
</cp:coreProperties>
</file>