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qd193wldl5rs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Real Estate adds over 1,000 student beds in UK and Portugal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These additions bring their total portfolio to over 9,000 beds across the UK, Europe, and Asia, highlighting M&amp;G's strategy to invest in high-quality assets in high-demand university cities.</w:t>
        <w:br w:type="textWrapping"/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Lisbon, M&amp;G finished "The Mile," a €35 mln, 333-bed development that helps address a severe shortage of student housing in the city. This residence boasts premium living spaces and amenities like a pool and gym.</w:t>
        <w:br w:type="textWrapping"/>
        <w:t xml:space="preserve">In Manchester, M&amp;G's value-add manager, BauMont Real Estate Capital, acquired "Ropemaker Court" for £42 mln (€48 mln). This 416-bed property will be refurbished to improve its facilities and energy efficiency.</w:t>
        <w:br w:type="textWrapping"/>
        <w:t xml:space="preserve">Finally, in Nottingham, M&amp;G completed "Fabric," a £48 mln (€41 mln), 323-bed development now open for the 2025/26 academic year. "Fabric" offers modern en-suite and studio rooms with amenities like a gym and cinema, reflecting M&amp;G's focus on student needs, sustainability, and design.</w:t>
        <w:br w:type="textWrapping"/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Martin Towns, global head of M&amp;G Real Estate, said: "The student accommodation sector is one of real estate’s most dynamic markets. With surging student populations that are increasingly mobile and a chronic undersupply of quality housing across major university cities, the sector offers unmatched potential for stable, long-term returns and portfolio diversification.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