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fgx7ttbt3vl7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Exclusive: investment giant widens focus from shared ownership to all affordable tenures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Investment giant M&amp;G has widened its focus from shared ownership to all affordable housing tenures, </w:t>
      </w: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Inside Housing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can reveal.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asset manager has expanded the remit of its shared ownership fund, which will now be called the M&amp;G Affordable Living Fund.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said the change will enable it to invest across a broader range of UK affordable housing tenures including affordable rent, social rent, intermediate rent, discounted market rent and private rented homes available to local residents and key workers.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i w:val="1"/>
          <w:iCs w:val="1"/>
          <w:color w:val="1b1b1b"/>
          <w:sz w:val="27"/>
          <w:szCs w:val="27"/>
          <w:rtl w:val="0"/>
        </w:rPr>
        <w:t xml:space="preserve">Inside Housing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understands the fund will continue to be managed by Chris Jeffs, who led the shared ownership strategy.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launched its £300m shared ownership fund in 2021 as a for-profit registered provider, and exclusively invested in shared ownership homes. It currently has a portfolio of almost 1,700 homes, with a further 155 under construction.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is backed by Homes England, local government pension schemes and its £130bn with-profits client fund, including its 500,000 UK clients who are invested in the £65bn PruFund.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Since 2021, M&amp;G has struck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shared ownership forward-funding deals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with social landlords such as Hyde, Chelmer Housing Partnership and Park Properties Housing Association. Under the deals M&amp;G’s for-profit provider owns the homes while the housing associations reinvest funds from the sale of the properties in their development pipelines.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Affordable Living Fund forms part of M&amp;G’s wider £3.5bn UK residential property portfolio, which also includes student accommodation, senior living and build-to-rent.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Chris Jeffs, manager of the M&amp;G Affordable Living Fund, says: “Expanding the remit of the fund provides people with a wider range of high-quality, sustainably designed and affordable homes to live in that are backed by institutional capital.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“These changes build on over 20 years of residential investment experience, as clients continue to seek the attractive risk-adjusted returns property can provide through different strategies, alongside the benefits to communities and society through the development of more affordable homes.”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M&amp;G’s decision to widen its gaze from shared ownership to other affordable tenures comes after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Savills predicted in May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that for-profits would diversify their involvement in the affordable housing sector.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Currently, 56% of homes owned by for-profits are shared ownership, but for-profits are increasingly looking at rented tenures, driven in part by the priorities of the government’s new Social and Affordable Homes Programme.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By 2030, Savills predicted that 26% of homes owned by for-profits would be social rent.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idehousing.co.uk/news/major-investor-and-three-housing-associations-sign-shared-ownership-deals-worth-62m-83371" TargetMode="External"/><Relationship Id="rId7" Type="http://schemas.openxmlformats.org/officeDocument/2006/relationships/hyperlink" Target="https://www.insidehousing.co.uk/news/for-profit-registered-providers-could-own-at-least-150000-homes-by-2030-919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